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5" w:type="dxa"/>
        <w:tblInd w:w="108" w:type="dxa"/>
        <w:tblLook w:val="01E0" w:firstRow="1" w:lastRow="1" w:firstColumn="1" w:lastColumn="1" w:noHBand="0" w:noVBand="0"/>
      </w:tblPr>
      <w:tblGrid>
        <w:gridCol w:w="4111"/>
        <w:gridCol w:w="5244"/>
      </w:tblGrid>
      <w:tr w:rsidR="00C16CEB" w:rsidRPr="00F9583A" w:rsidTr="00CB0F1C">
        <w:tc>
          <w:tcPr>
            <w:tcW w:w="4111" w:type="dxa"/>
            <w:shd w:val="clear" w:color="auto" w:fill="auto"/>
          </w:tcPr>
          <w:p w:rsidR="00C16CEB" w:rsidRPr="00F9583A" w:rsidRDefault="00C16CEB" w:rsidP="00CB0F1C">
            <w:pPr>
              <w:jc w:val="center"/>
              <w:rPr>
                <w:noProof/>
                <w:sz w:val="24"/>
                <w:szCs w:val="24"/>
              </w:rPr>
            </w:pPr>
            <w:bookmarkStart w:id="0" w:name="_Hlk110516505"/>
            <w:r w:rsidRPr="00F9583A">
              <w:rPr>
                <w:noProof/>
                <w:sz w:val="24"/>
                <w:szCs w:val="24"/>
              </w:rPr>
              <w:t>QUỐC HỘI KHÓA XV</w:t>
            </w:r>
          </w:p>
          <w:p w:rsidR="00C16CEB" w:rsidRPr="00F9583A" w:rsidRDefault="00C16CEB" w:rsidP="00CB0F1C">
            <w:pPr>
              <w:jc w:val="center"/>
              <w:rPr>
                <w:b/>
                <w:noProof/>
                <w:sz w:val="24"/>
                <w:szCs w:val="24"/>
                <w:lang w:val="vi-VN"/>
              </w:rPr>
            </w:pPr>
            <w:r w:rsidRPr="00F9583A">
              <w:rPr>
                <w:b/>
                <w:noProof/>
                <w:sz w:val="24"/>
                <w:szCs w:val="24"/>
              </w:rPr>
              <w:t>ỦY BAN TÀI CHÍNH, NGÂN SÁCH</w:t>
            </w:r>
          </w:p>
          <w:p w:rsidR="00C16CEB" w:rsidRPr="00F9583A" w:rsidRDefault="00C16CEB" w:rsidP="00CB0F1C">
            <w:pPr>
              <w:jc w:val="center"/>
              <w:rPr>
                <w:noProof/>
                <w:sz w:val="26"/>
                <w:szCs w:val="26"/>
                <w:lang w:val="vi-VN"/>
              </w:rPr>
            </w:pPr>
            <w:r w:rsidRPr="00F9583A">
              <w:rPr>
                <w:noProof/>
              </w:rPr>
              <mc:AlternateContent>
                <mc:Choice Requires="wps">
                  <w:drawing>
                    <wp:anchor distT="4294967293" distB="4294967293" distL="114300" distR="114300" simplePos="0" relativeHeight="251659264" behindDoc="0" locked="0" layoutInCell="1" allowOverlap="1">
                      <wp:simplePos x="0" y="0"/>
                      <wp:positionH relativeFrom="column">
                        <wp:posOffset>919480</wp:posOffset>
                      </wp:positionH>
                      <wp:positionV relativeFrom="paragraph">
                        <wp:posOffset>48259</wp:posOffset>
                      </wp:positionV>
                      <wp:extent cx="4914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A218C9"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4pt,3.8pt" to="11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"/>
                  </w:pict>
                </mc:Fallback>
              </mc:AlternateContent>
            </w:r>
          </w:p>
          <w:p w:rsidR="00C16CEB" w:rsidRPr="00F9583A" w:rsidRDefault="00C16CEB" w:rsidP="00CB0F1C">
            <w:pPr>
              <w:jc w:val="center"/>
              <w:rPr>
                <w:noProof/>
                <w:sz w:val="26"/>
                <w:szCs w:val="26"/>
                <w:lang w:val="vi-VN"/>
              </w:rPr>
            </w:pPr>
            <w:r w:rsidRPr="00F9583A">
              <w:rPr>
                <w:noProof/>
                <w:sz w:val="26"/>
                <w:szCs w:val="26"/>
                <w:lang w:val="vi-VN"/>
              </w:rPr>
              <w:t xml:space="preserve">Số: </w:t>
            </w:r>
            <w:r w:rsidR="00FE66F8" w:rsidRPr="00F9583A">
              <w:rPr>
                <w:noProof/>
                <w:sz w:val="26"/>
                <w:szCs w:val="26"/>
              </w:rPr>
              <w:t>1090</w:t>
            </w:r>
            <w:r w:rsidRPr="00F9583A">
              <w:rPr>
                <w:noProof/>
                <w:sz w:val="26"/>
                <w:szCs w:val="26"/>
                <w:lang w:val="vi-VN"/>
              </w:rPr>
              <w:t>/BC-UB</w:t>
            </w:r>
            <w:r w:rsidRPr="00F9583A">
              <w:rPr>
                <w:noProof/>
                <w:sz w:val="26"/>
                <w:szCs w:val="26"/>
              </w:rPr>
              <w:t>TCNS</w:t>
            </w:r>
            <w:r w:rsidRPr="00F9583A">
              <w:rPr>
                <w:noProof/>
                <w:sz w:val="26"/>
                <w:szCs w:val="26"/>
                <w:lang w:val="vi-VN"/>
              </w:rPr>
              <w:t>15</w:t>
            </w:r>
          </w:p>
          <w:p w:rsidR="00C16CEB" w:rsidRPr="00F9583A" w:rsidRDefault="00C16CEB" w:rsidP="00CB0F1C">
            <w:pPr>
              <w:spacing w:before="120"/>
              <w:jc w:val="center"/>
              <w:rPr>
                <w:b/>
                <w:iCs/>
                <w:noProof/>
              </w:rPr>
            </w:pPr>
          </w:p>
        </w:tc>
        <w:tc>
          <w:tcPr>
            <w:tcW w:w="5244" w:type="dxa"/>
            <w:shd w:val="clear" w:color="auto" w:fill="auto"/>
          </w:tcPr>
          <w:p w:rsidR="00C16CEB" w:rsidRPr="00F9583A" w:rsidRDefault="00C16CEB" w:rsidP="00CB0F1C">
            <w:pPr>
              <w:jc w:val="center"/>
              <w:rPr>
                <w:b/>
                <w:noProof/>
                <w:sz w:val="24"/>
                <w:szCs w:val="24"/>
                <w:lang w:val="vi-VN"/>
              </w:rPr>
            </w:pPr>
            <w:r w:rsidRPr="00F9583A">
              <w:rPr>
                <w:b/>
                <w:noProof/>
                <w:sz w:val="24"/>
                <w:szCs w:val="24"/>
                <w:lang w:val="vi-VN"/>
              </w:rPr>
              <w:t>CỘNG HÒA XÃ HỘI CHỦ NGHĨA VIỆT NAM</w:t>
            </w:r>
          </w:p>
          <w:p w:rsidR="00C16CEB" w:rsidRPr="00F9583A" w:rsidRDefault="00C16CEB" w:rsidP="00CB0F1C">
            <w:pPr>
              <w:jc w:val="center"/>
              <w:rPr>
                <w:b/>
                <w:noProof/>
                <w:lang w:val="vi-VN"/>
              </w:rPr>
            </w:pPr>
            <w:r w:rsidRPr="00F9583A">
              <w:rPr>
                <w:b/>
                <w:noProof/>
                <w:lang w:val="vi-VN"/>
              </w:rPr>
              <w:t>Độc lập - Tự do - Hạnh phúc</w:t>
            </w:r>
          </w:p>
          <w:p w:rsidR="00C16CEB" w:rsidRPr="00F9583A" w:rsidRDefault="00C16CEB" w:rsidP="00CB0F1C">
            <w:pPr>
              <w:jc w:val="center"/>
              <w:rPr>
                <w:i/>
                <w:noProof/>
                <w:lang w:val="vi-VN"/>
              </w:rPr>
            </w:pPr>
            <w:r w:rsidRPr="00F9583A">
              <w:rPr>
                <w:noProof/>
              </w:rPr>
              <mc:AlternateContent>
                <mc:Choice Requires="wps">
                  <w:drawing>
                    <wp:anchor distT="4294967293" distB="4294967293" distL="114300" distR="114300" simplePos="0" relativeHeight="251660288" behindDoc="0" locked="0" layoutInCell="1" allowOverlap="1">
                      <wp:simplePos x="0" y="0"/>
                      <wp:positionH relativeFrom="column">
                        <wp:posOffset>541020</wp:posOffset>
                      </wp:positionH>
                      <wp:positionV relativeFrom="paragraph">
                        <wp:posOffset>42544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CB2F8"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3.35pt" to="213.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"/>
                  </w:pict>
                </mc:Fallback>
              </mc:AlternateContent>
            </w:r>
            <w:r w:rsidRPr="00F9583A">
              <w:rPr>
                <w:i/>
                <w:noProof/>
                <w:lang w:val="vi-VN"/>
              </w:rPr>
              <w:t xml:space="preserve">    </w:t>
            </w:r>
          </w:p>
          <w:p w:rsidR="00C16CEB" w:rsidRPr="00F9583A" w:rsidRDefault="00C16CEB" w:rsidP="003D3A66">
            <w:pPr>
              <w:jc w:val="center"/>
              <w:rPr>
                <w:rFonts w:eastAsia="MS Mincho"/>
                <w:noProof/>
                <w:lang w:eastAsia="ja-JP"/>
              </w:rPr>
            </w:pPr>
            <w:r w:rsidRPr="00F9583A">
              <w:rPr>
                <w:i/>
                <w:noProof/>
                <w:lang w:val="vi-VN"/>
              </w:rPr>
              <w:t>Hà Nội, ngày</w:t>
            </w:r>
            <w:r w:rsidR="003D3A66" w:rsidRPr="00F9583A">
              <w:rPr>
                <w:i/>
                <w:noProof/>
              </w:rPr>
              <w:t xml:space="preserve"> 04</w:t>
            </w:r>
            <w:r w:rsidRPr="00F9583A">
              <w:rPr>
                <w:i/>
                <w:noProof/>
                <w:lang w:val="en-GB"/>
              </w:rPr>
              <w:t xml:space="preserve"> </w:t>
            </w:r>
            <w:r w:rsidRPr="00F9583A">
              <w:rPr>
                <w:i/>
                <w:noProof/>
                <w:lang w:val="vi-VN"/>
              </w:rPr>
              <w:t xml:space="preserve">tháng </w:t>
            </w:r>
            <w:r w:rsidRPr="00F9583A">
              <w:rPr>
                <w:i/>
                <w:noProof/>
                <w:lang w:val="en-GB"/>
              </w:rPr>
              <w:t>4</w:t>
            </w:r>
            <w:r w:rsidRPr="00F9583A">
              <w:rPr>
                <w:i/>
                <w:noProof/>
                <w:lang w:val="vi-VN"/>
              </w:rPr>
              <w:t xml:space="preserve"> năm 202</w:t>
            </w:r>
            <w:r w:rsidRPr="00F9583A">
              <w:rPr>
                <w:rFonts w:eastAsia="MS Mincho"/>
                <w:i/>
                <w:noProof/>
                <w:lang w:eastAsia="ja-JP"/>
              </w:rPr>
              <w:t>3</w:t>
            </w:r>
          </w:p>
        </w:tc>
      </w:tr>
    </w:tbl>
    <w:p w:rsidR="00C16CEB" w:rsidRPr="00F9583A" w:rsidRDefault="00C16CEB" w:rsidP="00C16CEB">
      <w:pPr>
        <w:jc w:val="center"/>
        <w:rPr>
          <w:b/>
          <w:noProof/>
          <w:szCs w:val="32"/>
          <w:lang w:val="vi-VN"/>
        </w:rPr>
      </w:pPr>
    </w:p>
    <w:p w:rsidR="00C16CEB" w:rsidRPr="00F9583A" w:rsidRDefault="00C16CEB" w:rsidP="00C16CEB">
      <w:pPr>
        <w:jc w:val="center"/>
        <w:rPr>
          <w:b/>
          <w:noProof/>
          <w:szCs w:val="32"/>
          <w:lang w:val="vi-VN"/>
        </w:rPr>
      </w:pPr>
      <w:r w:rsidRPr="00F9583A">
        <w:rPr>
          <w:b/>
          <w:noProof/>
          <w:szCs w:val="32"/>
          <w:lang w:val="vi-VN"/>
        </w:rPr>
        <w:t>BÁO CÁO</w:t>
      </w:r>
    </w:p>
    <w:p w:rsidR="00C16CEB" w:rsidRPr="00F9583A" w:rsidRDefault="00C16CEB" w:rsidP="00C16CEB">
      <w:pPr>
        <w:widowControl w:val="0"/>
        <w:jc w:val="center"/>
        <w:rPr>
          <w:b/>
          <w:bCs/>
          <w:noProof/>
          <w:lang w:val="vi-VN"/>
        </w:rPr>
      </w:pPr>
      <w:r w:rsidRPr="00F9583A">
        <w:rPr>
          <w:b/>
          <w:bCs/>
          <w:noProof/>
          <w:lang w:val="vi-VN"/>
        </w:rPr>
        <w:t>Một số vấn đề lớn về việc giải trình, tiếp thu, chỉnh lý</w:t>
      </w:r>
    </w:p>
    <w:p w:rsidR="00C16CEB" w:rsidRPr="00F9583A" w:rsidRDefault="00C16CEB" w:rsidP="00C16CEB">
      <w:pPr>
        <w:widowControl w:val="0"/>
        <w:jc w:val="center"/>
        <w:rPr>
          <w:b/>
          <w:bCs/>
          <w:noProof/>
          <w:lang w:val="en-GB"/>
        </w:rPr>
      </w:pPr>
      <w:r w:rsidRPr="00F9583A">
        <w:rPr>
          <w:b/>
          <w:bCs/>
          <w:noProof/>
          <w:lang w:val="vi-VN"/>
        </w:rPr>
        <w:t>dự thảo</w:t>
      </w:r>
      <w:r w:rsidRPr="00F9583A">
        <w:rPr>
          <w:b/>
          <w:bCs/>
          <w:noProof/>
          <w:lang w:val="en-GB"/>
        </w:rPr>
        <w:t xml:space="preserve"> </w:t>
      </w:r>
      <w:r w:rsidRPr="00F9583A">
        <w:rPr>
          <w:b/>
          <w:bCs/>
          <w:noProof/>
          <w:lang w:val="vi-VN"/>
        </w:rPr>
        <w:t>Luật Đấu thầu</w:t>
      </w:r>
      <w:r w:rsidRPr="00F9583A">
        <w:rPr>
          <w:b/>
          <w:bCs/>
          <w:noProof/>
          <w:lang w:val="en-GB"/>
        </w:rPr>
        <w:t xml:space="preserve"> (sửa đổi)</w:t>
      </w:r>
    </w:p>
    <w:p w:rsidR="00C16CEB" w:rsidRPr="00F9583A" w:rsidRDefault="00C16CEB" w:rsidP="00C16CEB">
      <w:pPr>
        <w:ind w:firstLine="567"/>
        <w:jc w:val="both"/>
        <w:rPr>
          <w:spacing w:val="-2"/>
        </w:rPr>
      </w:pPr>
      <w:r w:rsidRPr="00F9583A">
        <w:rPr>
          <w:noProof/>
        </w:rPr>
        <mc:AlternateContent>
          <mc:Choice Requires="wps">
            <w:drawing>
              <wp:anchor distT="4294967293" distB="4294967293" distL="114300" distR="114300" simplePos="0" relativeHeight="251661312" behindDoc="0" locked="0" layoutInCell="1" allowOverlap="1">
                <wp:simplePos x="0" y="0"/>
                <wp:positionH relativeFrom="column">
                  <wp:posOffset>2562860</wp:posOffset>
                </wp:positionH>
                <wp:positionV relativeFrom="paragraph">
                  <wp:posOffset>76834</wp:posOffset>
                </wp:positionV>
                <wp:extent cx="7467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E48EB9"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1.8pt,6.05pt" to="26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"/>
            </w:pict>
          </mc:Fallback>
        </mc:AlternateContent>
      </w:r>
    </w:p>
    <w:p w:rsidR="00C16CEB" w:rsidRPr="00F9583A" w:rsidRDefault="00C16CEB" w:rsidP="00303026">
      <w:pPr>
        <w:spacing w:before="60" w:after="60" w:line="380" w:lineRule="exact"/>
        <w:ind w:firstLine="720"/>
        <w:jc w:val="both"/>
        <w:rPr>
          <w:lang w:val="nl-NL"/>
        </w:rPr>
      </w:pPr>
      <w:r w:rsidRPr="00F9583A">
        <w:rPr>
          <w:spacing w:val="-2"/>
        </w:rPr>
        <w:t>Tại kỳ họp thứ 4 (tháng 10/2022), Quốc hội đã thảo luận, cho ý kiến về dự án Luật Đấu thầu (sửa đổi</w:t>
      </w:r>
      <w:r w:rsidRPr="00F9583A">
        <w:t>.</w:t>
      </w:r>
      <w:r w:rsidR="002842D9" w:rsidRPr="00F9583A">
        <w:t xml:space="preserve"> </w:t>
      </w:r>
      <w:r w:rsidRPr="00F9583A">
        <w:rPr>
          <w:lang w:val="pt-BR"/>
        </w:rPr>
        <w:t>Ngay sau kỳ họp</w:t>
      </w:r>
      <w:r w:rsidR="002842D9" w:rsidRPr="00F9583A">
        <w:rPr>
          <w:lang w:val="pt-BR"/>
        </w:rPr>
        <w:t>,</w:t>
      </w:r>
      <w:r w:rsidRPr="00F9583A">
        <w:t xml:space="preserve"> Thường trực Ủy ban Tài chính, Ngân sách</w:t>
      </w:r>
      <w:r w:rsidR="00DC1B86" w:rsidRPr="00F9583A">
        <w:t xml:space="preserve"> (TCNS)</w:t>
      </w:r>
      <w:r w:rsidRPr="00F9583A">
        <w:t xml:space="preserve"> </w:t>
      </w:r>
      <w:r w:rsidR="002842D9" w:rsidRPr="00F9583A">
        <w:t>đã</w:t>
      </w:r>
      <w:r w:rsidRPr="00F9583A">
        <w:t xml:space="preserve"> phối hợp với Cơ quan soạn thảo và các cơ quan hữu quan </w:t>
      </w:r>
      <w:r w:rsidRPr="00F9583A">
        <w:rPr>
          <w:lang w:val="nl-NL"/>
        </w:rPr>
        <w:t>tổ chức</w:t>
      </w:r>
      <w:r w:rsidR="002842D9" w:rsidRPr="00F9583A">
        <w:rPr>
          <w:lang w:val="nl-NL"/>
        </w:rPr>
        <w:t xml:space="preserve"> Hội thảo khoa học, </w:t>
      </w:r>
      <w:r w:rsidRPr="00F9583A">
        <w:rPr>
          <w:lang w:val="nl-NL"/>
        </w:rPr>
        <w:t>làm việc với</w:t>
      </w:r>
      <w:r w:rsidR="002842D9" w:rsidRPr="00F9583A">
        <w:rPr>
          <w:lang w:val="nl-NL"/>
        </w:rPr>
        <w:t xml:space="preserve"> các chuyên gia, nhà khoa học,</w:t>
      </w:r>
      <w:r w:rsidRPr="00F9583A">
        <w:rPr>
          <w:lang w:val="nl-NL"/>
        </w:rPr>
        <w:t xml:space="preserve"> một số cơ quan là đối tượng chịu sự điều chỉnh trực tiếp của dự thảo Luật</w:t>
      </w:r>
      <w:r w:rsidRPr="00F9583A">
        <w:rPr>
          <w:rStyle w:val="FootnoteReference"/>
          <w:lang w:val="nl-NL"/>
        </w:rPr>
        <w:footnoteReference w:id="1"/>
      </w:r>
      <w:r w:rsidRPr="00F9583A">
        <w:rPr>
          <w:lang w:val="nl-NL"/>
        </w:rPr>
        <w:t xml:space="preserve"> </w:t>
      </w:r>
      <w:r w:rsidRPr="00F9583A">
        <w:t>để tiếp thu, chỉnh lý dự thảo Luật và trình Ủy ban Thường vụ Quốc hội cho ý kiến tại phiên họp thứ 21 (tháng 3/2023)</w:t>
      </w:r>
      <w:r w:rsidRPr="00F9583A">
        <w:rPr>
          <w:lang w:val="nl-NL"/>
        </w:rPr>
        <w:t xml:space="preserve">. </w:t>
      </w:r>
      <w:r w:rsidRPr="00F9583A">
        <w:t xml:space="preserve">So </w:t>
      </w:r>
      <w:r w:rsidRPr="00F9583A">
        <w:rPr>
          <w:lang w:val="nl-NL"/>
        </w:rPr>
        <w:t xml:space="preserve">với dự thảo Luật trình Quốc hội tại kỳ họp thứ 4, dự thảo Luật trình xin ý kiến các vị đại biểu Quốc hội </w:t>
      </w:r>
      <w:r w:rsidR="002842D9" w:rsidRPr="00F9583A">
        <w:rPr>
          <w:lang w:val="nl-NL"/>
        </w:rPr>
        <w:t xml:space="preserve">chuyên trách </w:t>
      </w:r>
      <w:r w:rsidRPr="00F9583A">
        <w:rPr>
          <w:lang w:val="nl-NL"/>
        </w:rPr>
        <w:t xml:space="preserve">đã được chỉnh lý </w:t>
      </w:r>
      <w:r w:rsidR="002842D9" w:rsidRPr="00F9583A">
        <w:rPr>
          <w:lang w:val="nl-NL"/>
        </w:rPr>
        <w:t>55</w:t>
      </w:r>
      <w:r w:rsidRPr="00F9583A">
        <w:rPr>
          <w:lang w:val="nl-NL"/>
        </w:rPr>
        <w:t xml:space="preserve"> điều. Dự thảo Luật sau khi được tiếp thu, chỉnh lý </w:t>
      </w:r>
      <w:r w:rsidR="002842D9" w:rsidRPr="00F9583A">
        <w:rPr>
          <w:lang w:val="nl-NL"/>
        </w:rPr>
        <w:t>cơ bản</w:t>
      </w:r>
      <w:r w:rsidRPr="00F9583A">
        <w:rPr>
          <w:lang w:val="nl-NL"/>
        </w:rPr>
        <w:t xml:space="preserve"> đạt được sự đồng thuận giữa cơ quan thẩm tra và cơ quan soạn thảo. </w:t>
      </w:r>
    </w:p>
    <w:p w:rsidR="00C16CEB" w:rsidRPr="00F9583A" w:rsidRDefault="00C16CEB" w:rsidP="00303026">
      <w:pPr>
        <w:pStyle w:val="BodyText"/>
        <w:widowControl w:val="0"/>
        <w:spacing w:before="60" w:after="60" w:line="380" w:lineRule="exact"/>
        <w:ind w:firstLine="720"/>
        <w:rPr>
          <w:lang w:val="nl-NL"/>
        </w:rPr>
      </w:pPr>
      <w:r w:rsidRPr="00F9583A">
        <w:rPr>
          <w:rFonts w:eastAsia="MS Mincho"/>
          <w:lang w:val="nl-NL"/>
        </w:rPr>
        <w:t xml:space="preserve">Thường trực </w:t>
      </w:r>
      <w:r w:rsidRPr="00F9583A">
        <w:rPr>
          <w:lang w:val="nl-NL"/>
        </w:rPr>
        <w:t xml:space="preserve">Ủy ban </w:t>
      </w:r>
      <w:r w:rsidR="00DC1B86" w:rsidRPr="00F9583A">
        <w:rPr>
          <w:lang w:val="nl-NL"/>
        </w:rPr>
        <w:t>TCNS</w:t>
      </w:r>
      <w:r w:rsidRPr="00F9583A">
        <w:rPr>
          <w:lang w:val="nl-NL"/>
        </w:rPr>
        <w:t xml:space="preserve"> xin báo cáo một số vấn đề lớn trong quá trình tiếp thu, chỉnh lý dự thảo Luật Đấu thầu (sửa đổi) để các vị đại biểu Quốc hội hoạt động chuyên trách tiếp tục thảo luận, đóng góp ý kiến. Cụ thể như sau:</w:t>
      </w:r>
    </w:p>
    <w:p w:rsidR="00C16CEB" w:rsidRPr="00F9583A" w:rsidRDefault="00C16CEB" w:rsidP="000C4AC7">
      <w:pPr>
        <w:spacing w:before="60" w:after="60" w:line="380" w:lineRule="exact"/>
        <w:ind w:firstLine="720"/>
        <w:jc w:val="both"/>
        <w:rPr>
          <w:b/>
          <w:bCs/>
          <w:i/>
        </w:rPr>
      </w:pPr>
      <w:r w:rsidRPr="00F9583A">
        <w:rPr>
          <w:b/>
          <w:bCs/>
          <w:i/>
        </w:rPr>
        <w:t xml:space="preserve">1. Về đối tượng điều chỉnh đối với vốn tại nhà nước tại doanh nghiệp </w:t>
      </w:r>
    </w:p>
    <w:p w:rsidR="006F5B03" w:rsidRPr="00F9583A" w:rsidRDefault="00170852" w:rsidP="000C4AC7">
      <w:pPr>
        <w:widowControl w:val="0"/>
        <w:spacing w:before="60" w:after="60" w:line="380" w:lineRule="exact"/>
        <w:ind w:firstLine="720"/>
        <w:jc w:val="both"/>
        <w:rPr>
          <w:bCs/>
          <w:iCs/>
        </w:rPr>
      </w:pPr>
      <w:r w:rsidRPr="00F9583A">
        <w:rPr>
          <w:bCs/>
        </w:rPr>
        <w:t xml:space="preserve">Dự thảo luật Chính phủ trình Quốc hội bỏ quy định tại điểm </w:t>
      </w:r>
      <w:r w:rsidRPr="00F9583A">
        <w:t>c khoản 1 Điều 1 của Luật Đấu thầu năm 2013</w:t>
      </w:r>
      <w:r w:rsidRPr="00F9583A">
        <w:rPr>
          <w:rStyle w:val="FootnoteReference"/>
          <w:rFonts w:eastAsia="Calibri"/>
        </w:rPr>
        <w:footnoteReference w:id="2"/>
      </w:r>
      <w:r w:rsidRPr="00F9583A">
        <w:t xml:space="preserve">, chỉ quy định điều chỉnh đối với </w:t>
      </w:r>
      <w:r w:rsidRPr="00F9583A">
        <w:rPr>
          <w:b/>
          <w:i/>
        </w:rPr>
        <w:t>dự án đầu tư của doanh nghiệp nhà nước</w:t>
      </w:r>
      <w:r w:rsidRPr="00F9583A">
        <w:t xml:space="preserve">, </w:t>
      </w:r>
      <w:r w:rsidR="006F5B03" w:rsidRPr="00F9583A">
        <w:t xml:space="preserve">thu hẹp đối tượng điều chỉnh so với luật hiện hành đối với toàn bộ </w:t>
      </w:r>
      <w:r w:rsidRPr="00F9583A">
        <w:t>các dự án đầu tư có sử dụng vốn nhà nước, vốn của doanh nghiệp nhà nước từ 30% trở lên hoặc dưới 30% nhưng trên 500 tỷ đồng trong tổng mức đầu tư của dự án.</w:t>
      </w:r>
      <w:r w:rsidR="000C4AC7" w:rsidRPr="00F9583A">
        <w:rPr>
          <w:bCs/>
          <w:iCs/>
        </w:rPr>
        <w:t xml:space="preserve"> </w:t>
      </w:r>
      <w:r w:rsidR="006F5B03" w:rsidRPr="00F9583A">
        <w:rPr>
          <w:bCs/>
          <w:iCs/>
        </w:rPr>
        <w:t>Về vấn đề này, có 2 loại ý kiến như sau:</w:t>
      </w:r>
    </w:p>
    <w:p w:rsidR="00170852" w:rsidRPr="00F9583A" w:rsidRDefault="006F5B03" w:rsidP="000C4AC7">
      <w:pPr>
        <w:widowControl w:val="0"/>
        <w:spacing w:before="60" w:after="60" w:line="380" w:lineRule="exact"/>
        <w:ind w:firstLine="720"/>
        <w:jc w:val="both"/>
      </w:pPr>
      <w:r w:rsidRPr="00F9583A">
        <w:rPr>
          <w:bCs/>
          <w:i/>
          <w:iCs/>
        </w:rPr>
        <w:t>Loại ý kiến thứ nhất</w:t>
      </w:r>
      <w:r w:rsidR="001074C2" w:rsidRPr="00F9583A">
        <w:rPr>
          <w:bCs/>
          <w:i/>
          <w:iCs/>
        </w:rPr>
        <w:t xml:space="preserve">: </w:t>
      </w:r>
      <w:r w:rsidR="001074C2" w:rsidRPr="00F9583A">
        <w:rPr>
          <w:bCs/>
          <w:iCs/>
        </w:rPr>
        <w:t>N</w:t>
      </w:r>
      <w:r w:rsidR="000C4AC7" w:rsidRPr="00F9583A">
        <w:rPr>
          <w:bCs/>
          <w:iCs/>
        </w:rPr>
        <w:t xml:space="preserve">hất trí </w:t>
      </w:r>
      <w:r w:rsidRPr="00F9583A">
        <w:rPr>
          <w:bCs/>
          <w:iCs/>
        </w:rPr>
        <w:t xml:space="preserve">với Tờ trình của Chính phủ, chỉ quy định các dự án đầu tư của doanh nghiệp nhà nước thuộc đối tượng phải đấu thầu. </w:t>
      </w:r>
      <w:r w:rsidR="00170852" w:rsidRPr="00F9583A">
        <w:t xml:space="preserve">Theo </w:t>
      </w:r>
      <w:r w:rsidR="00170852" w:rsidRPr="00F9583A">
        <w:lastRenderedPageBreak/>
        <w:t xml:space="preserve">quan điểm này, Dự thảo luật quy định như </w:t>
      </w:r>
      <w:r w:rsidR="00170852" w:rsidRPr="00F9583A">
        <w:rPr>
          <w:u w:val="single"/>
        </w:rPr>
        <w:t>Phương án 1 tại khoản 2 Điều 2</w:t>
      </w:r>
      <w:r w:rsidR="000C4AC7" w:rsidRPr="00F9583A">
        <w:rPr>
          <w:spacing w:val="-2"/>
          <w:vertAlign w:val="superscript"/>
        </w:rPr>
        <w:footnoteReference w:id="3"/>
      </w:r>
      <w:r w:rsidR="00170852" w:rsidRPr="00F9583A">
        <w:t xml:space="preserve">.  </w:t>
      </w:r>
    </w:p>
    <w:p w:rsidR="00170852" w:rsidRPr="00F9583A" w:rsidRDefault="006F5B03" w:rsidP="000C4AC7">
      <w:pPr>
        <w:widowControl w:val="0"/>
        <w:spacing w:before="60" w:after="60" w:line="380" w:lineRule="exact"/>
        <w:ind w:firstLine="720"/>
        <w:jc w:val="both"/>
        <w:rPr>
          <w:i/>
        </w:rPr>
      </w:pPr>
      <w:r w:rsidRPr="00F9583A">
        <w:rPr>
          <w:rFonts w:eastAsia="Batang"/>
          <w:i/>
          <w:iCs/>
          <w:lang w:val="pl-PL" w:eastAsia="ko-KR"/>
        </w:rPr>
        <w:t>Loại ý kiến thứ 2</w:t>
      </w:r>
      <w:r w:rsidR="00170852" w:rsidRPr="00F9583A">
        <w:rPr>
          <w:i/>
          <w:iCs/>
        </w:rPr>
        <w:t xml:space="preserve"> cho rằng,</w:t>
      </w:r>
      <w:r w:rsidR="00170852" w:rsidRPr="00F9583A">
        <w:t xml:space="preserve"> nếu quy định như dự thảo Chính phủ trình sẽ thu hẹp đáng kể đối tượng dự án sử dụng vốn nhà nước phải đấu thầu, tạo khoảng trống pháp luật trong quản lý vốn nhà nước </w:t>
      </w:r>
      <w:r w:rsidR="001074C2" w:rsidRPr="00F9583A">
        <w:t>dẫn tới t</w:t>
      </w:r>
      <w:r w:rsidRPr="00F9583A">
        <w:t>oàn bộ các dự án đầu tư của c</w:t>
      </w:r>
      <w:r w:rsidR="00170852" w:rsidRPr="00F9583A">
        <w:t xml:space="preserve">ông ty con </w:t>
      </w:r>
      <w:r w:rsidRPr="00F9583A">
        <w:t>của các Tập đoàn, Tổng công ty, doanh nghiệp nhà nước khác… sẽ không phải đấu thầu</w:t>
      </w:r>
      <w:r w:rsidR="001074C2" w:rsidRPr="00F9583A">
        <w:rPr>
          <w:rStyle w:val="FootnoteReference"/>
        </w:rPr>
        <w:footnoteReference w:id="4"/>
      </w:r>
      <w:r w:rsidR="00170852" w:rsidRPr="00F9583A">
        <w:t xml:space="preserve">. </w:t>
      </w:r>
      <w:r w:rsidRPr="00F9583A">
        <w:t>Do vậy,</w:t>
      </w:r>
      <w:r w:rsidR="00170852" w:rsidRPr="00F9583A">
        <w:t xml:space="preserve"> đề nghị quy định đối tượng áp dụng đối với dự án đầu tư của Doanh nghiệp nhà nước và doanh nghiệp có trên 50% vốn thuộc sở hữu của doanh nghiệp Nhà nước. Theo quan điểm này, Dự thảo luật quy định như </w:t>
      </w:r>
      <w:r w:rsidR="00170852" w:rsidRPr="00F9583A">
        <w:rPr>
          <w:u w:val="single"/>
        </w:rPr>
        <w:t>Phương án</w:t>
      </w:r>
      <w:r w:rsidR="00170852" w:rsidRPr="00F9583A">
        <w:t xml:space="preserve"> </w:t>
      </w:r>
      <w:r w:rsidR="00170852" w:rsidRPr="00F9583A">
        <w:rPr>
          <w:u w:val="single"/>
        </w:rPr>
        <w:t>2 tại khoản 2 Điều 2</w:t>
      </w:r>
      <w:r w:rsidR="00170852" w:rsidRPr="00F9583A">
        <w:rPr>
          <w:rStyle w:val="FootnoteReference"/>
          <w:bCs/>
          <w:iCs/>
          <w:spacing w:val="-2"/>
        </w:rPr>
        <w:footnoteReference w:id="5"/>
      </w:r>
      <w:r w:rsidR="00170852" w:rsidRPr="00F9583A">
        <w:rPr>
          <w:u w:val="single"/>
        </w:rPr>
        <w:t>.</w:t>
      </w:r>
    </w:p>
    <w:p w:rsidR="00170852" w:rsidRPr="00F9583A" w:rsidRDefault="00170852" w:rsidP="000C4AC7">
      <w:pPr>
        <w:widowControl w:val="0"/>
        <w:spacing w:before="60" w:after="60" w:line="380" w:lineRule="exact"/>
        <w:ind w:firstLine="720"/>
        <w:jc w:val="both"/>
      </w:pPr>
      <w:r w:rsidRPr="00F9583A">
        <w:rPr>
          <w:bCs/>
          <w:iCs/>
        </w:rPr>
        <w:t xml:space="preserve">Thường trực Ủy ban TCNS xin báo cáo 2 phương án để trình Hội nghị đại biểu </w:t>
      </w:r>
      <w:r w:rsidR="001720A0" w:rsidRPr="00F9583A">
        <w:rPr>
          <w:bCs/>
          <w:iCs/>
        </w:rPr>
        <w:t xml:space="preserve">Quốc hội </w:t>
      </w:r>
      <w:r w:rsidRPr="00F9583A">
        <w:rPr>
          <w:bCs/>
          <w:iCs/>
        </w:rPr>
        <w:t>chuyên trách xem xét, cho ý kiến.</w:t>
      </w:r>
    </w:p>
    <w:p w:rsidR="00C16CEB" w:rsidRPr="00F9583A" w:rsidRDefault="00C16CEB" w:rsidP="000C4AC7">
      <w:pPr>
        <w:spacing w:before="60" w:after="60" w:line="380" w:lineRule="exact"/>
        <w:ind w:firstLine="720"/>
        <w:jc w:val="both"/>
        <w:rPr>
          <w:b/>
          <w:bCs/>
          <w:i/>
          <w:noProof/>
          <w:spacing w:val="-2"/>
        </w:rPr>
      </w:pPr>
      <w:r w:rsidRPr="00F9583A">
        <w:rPr>
          <w:b/>
          <w:bCs/>
          <w:i/>
        </w:rPr>
        <w:t xml:space="preserve">2. Về đấu thầu trước </w:t>
      </w:r>
    </w:p>
    <w:p w:rsidR="00C16CEB" w:rsidRPr="00F9583A" w:rsidRDefault="00CE6A8A" w:rsidP="000C4AC7">
      <w:pPr>
        <w:tabs>
          <w:tab w:val="left" w:pos="189"/>
        </w:tabs>
        <w:spacing w:before="60" w:after="60" w:line="380" w:lineRule="exact"/>
        <w:ind w:firstLine="720"/>
        <w:jc w:val="both"/>
        <w:rPr>
          <w:bCs/>
          <w:iCs/>
        </w:rPr>
      </w:pPr>
      <w:r w:rsidRPr="00F9583A">
        <w:rPr>
          <w:iCs/>
        </w:rPr>
        <w:t xml:space="preserve">Dự thảo Luật </w:t>
      </w:r>
      <w:r w:rsidR="00FE66F8" w:rsidRPr="00F9583A">
        <w:rPr>
          <w:iCs/>
        </w:rPr>
        <w:t xml:space="preserve">Chính phủ trình Quốc hội </w:t>
      </w:r>
      <w:r w:rsidRPr="00F9583A">
        <w:rPr>
          <w:iCs/>
        </w:rPr>
        <w:t>quy định một số trường hợp cho phép đấu thầu trước khi dự án, dự toán được phê duyệt để rút ngắn thời gian thực hiện</w:t>
      </w:r>
      <w:r w:rsidR="000C4AC7" w:rsidRPr="00F9583A">
        <w:rPr>
          <w:iCs/>
        </w:rPr>
        <w:t xml:space="preserve"> trong một số trường hợp</w:t>
      </w:r>
      <w:r w:rsidRPr="00F9583A">
        <w:rPr>
          <w:iCs/>
        </w:rPr>
        <w:t xml:space="preserve">. Ý kiến Ủy ban Thường vụ Quốc hội và một số đại biểu Quốc hội đề nghị </w:t>
      </w:r>
      <w:r w:rsidR="006F5B03" w:rsidRPr="00F9583A">
        <w:rPr>
          <w:iCs/>
        </w:rPr>
        <w:t>hạn chế sử dụng hình thức này, tránh tạo kẽ hở trong thực thi Luật</w:t>
      </w:r>
      <w:r w:rsidR="000C4AC7" w:rsidRPr="00F9583A">
        <w:rPr>
          <w:iCs/>
        </w:rPr>
        <w:t>.</w:t>
      </w:r>
      <w:r w:rsidR="00C16CEB" w:rsidRPr="00F9583A">
        <w:rPr>
          <w:i/>
          <w:iCs/>
        </w:rPr>
        <w:t xml:space="preserve"> </w:t>
      </w:r>
      <w:r w:rsidR="00C16CEB" w:rsidRPr="00F9583A">
        <w:rPr>
          <w:lang w:val="en-GB"/>
        </w:rPr>
        <w:t xml:space="preserve">Thường trực Ủy ban TCNS </w:t>
      </w:r>
      <w:r w:rsidR="00C16CEB" w:rsidRPr="00F9583A">
        <w:rPr>
          <w:bCs/>
          <w:iCs/>
        </w:rPr>
        <w:t xml:space="preserve">tiếp thu ý kiến UBTVQH và chỉnh lý theo hướng </w:t>
      </w:r>
      <w:r w:rsidR="00C16CEB" w:rsidRPr="00F9583A">
        <w:t>quy định đấu thầu trước chỉ áp dụng đối</w:t>
      </w:r>
      <w:r w:rsidR="000C4AC7" w:rsidRPr="00F9583A">
        <w:t xml:space="preserve"> </w:t>
      </w:r>
      <w:r w:rsidR="00C16CEB" w:rsidRPr="00F9583A">
        <w:t>với dự án sử dụng vốn hỗ trợ phát triển chính thức, vốn vay ưu đãi, đảm bảo</w:t>
      </w:r>
      <w:r w:rsidR="00C16CEB" w:rsidRPr="00F9583A">
        <w:rPr>
          <w:bCs/>
          <w:iCs/>
        </w:rPr>
        <w:t xml:space="preserve"> quy định thống nhất với Luật 03/2022/QH15.</w:t>
      </w:r>
    </w:p>
    <w:p w:rsidR="00C16CEB" w:rsidRPr="00F9583A" w:rsidRDefault="001074C2" w:rsidP="000C4AC7">
      <w:pPr>
        <w:spacing w:before="60" w:after="60" w:line="380" w:lineRule="exact"/>
        <w:ind w:firstLine="720"/>
        <w:jc w:val="both"/>
        <w:rPr>
          <w:b/>
          <w:bCs/>
          <w:i/>
        </w:rPr>
      </w:pPr>
      <w:r w:rsidRPr="00F9583A">
        <w:rPr>
          <w:b/>
          <w:bCs/>
          <w:i/>
        </w:rPr>
        <w:t>3</w:t>
      </w:r>
      <w:r w:rsidR="00C16CEB" w:rsidRPr="00F9583A">
        <w:rPr>
          <w:b/>
          <w:bCs/>
          <w:i/>
        </w:rPr>
        <w:t>. Về chỉ định thầu</w:t>
      </w:r>
    </w:p>
    <w:p w:rsidR="00CE6A8A" w:rsidRPr="00F9583A" w:rsidRDefault="00CE6A8A" w:rsidP="000C4AC7">
      <w:pPr>
        <w:pStyle w:val="Body"/>
        <w:spacing w:after="60" w:line="380" w:lineRule="exact"/>
        <w:ind w:firstLine="720"/>
        <w:rPr>
          <w:i/>
        </w:rPr>
      </w:pPr>
      <w:r w:rsidRPr="00F9583A">
        <w:rPr>
          <w:i/>
        </w:rPr>
        <w:t>Nhiều ý kiến ĐBQH cho rằng, dự thảo Luật bổ sung nhiều trường hợp chỉ định thầu, giảm trường hợp đấu thầu là không phù hợ</w:t>
      </w:r>
      <w:r w:rsidR="006F5B03" w:rsidRPr="00F9583A">
        <w:rPr>
          <w:i/>
        </w:rPr>
        <w:t>p</w:t>
      </w:r>
      <w:r w:rsidRPr="00F9583A">
        <w:rPr>
          <w:i/>
        </w:rPr>
        <w:t xml:space="preserve">, cần quy định chặt chẽ, chỉ áp dụng chỉ định thầu trong trường hợp thật sự cần thiết, cấp bách và quy định tiêu chí cụ thể, tránh lạm dụng. </w:t>
      </w:r>
    </w:p>
    <w:p w:rsidR="00C16CEB" w:rsidRPr="00F9583A" w:rsidRDefault="00C16CEB" w:rsidP="000C4AC7">
      <w:pPr>
        <w:pStyle w:val="Body"/>
        <w:spacing w:after="60" w:line="380" w:lineRule="exact"/>
        <w:ind w:firstLine="720"/>
      </w:pPr>
      <w:r w:rsidRPr="00F9583A">
        <w:t>Tiếp thu ý kiến ĐBQH, Thường trực Ủy ban TCNS phối hợp các cơ quan rà soát, chỉnh lý Điều 23 Dự thảo luật mới theo hướng giảm một số trường hợp chỉ định thầu, trong đó đã loại bỏ các trường hợp chỉ định thầu đối với: “</w:t>
      </w:r>
      <w:r w:rsidRPr="00F9583A">
        <w:rPr>
          <w:i/>
        </w:rPr>
        <w:t xml:space="preserve">gói thầu tái </w:t>
      </w:r>
      <w:r w:rsidRPr="00F9583A">
        <w:rPr>
          <w:i/>
        </w:rPr>
        <w:lastRenderedPageBreak/>
        <w:t>định cư</w:t>
      </w:r>
      <w:r w:rsidRPr="00F9583A">
        <w:t>” tại điểm g khoản 1; quy định rõ về “</w:t>
      </w:r>
      <w:r w:rsidRPr="00F9583A">
        <w:rPr>
          <w:i/>
        </w:rPr>
        <w:t>Gói thầu thuộc dự án quan trọng quốc gia được áp dụng hình thức chỉ định thầu theo Nghị quyết của Quốc hội khi phê duyệt chủ trương đầu tư dự án</w:t>
      </w:r>
      <w:r w:rsidRPr="00F9583A">
        <w:rPr>
          <w:i/>
          <w:lang w:val="en-US"/>
        </w:rPr>
        <w:t>”.</w:t>
      </w:r>
      <w:r w:rsidRPr="00F9583A">
        <w:t xml:space="preserve"> Đồng thời, bổ sung luật hóa quy định đang được hướng dẫn tại Nghị định về hạn mức áp dụng chỉ định thầu tại điểm k khoản 1 của điều 23 của dự thảo Luật chỉnh lý</w:t>
      </w:r>
      <w:r w:rsidR="006F5B03" w:rsidRPr="00F9583A">
        <w:rPr>
          <w:rStyle w:val="FootnoteReference"/>
        </w:rPr>
        <w:footnoteReference w:id="6"/>
      </w:r>
      <w:r w:rsidRPr="00F9583A">
        <w:t xml:space="preserve"> và đ</w:t>
      </w:r>
      <w:r w:rsidRPr="00F9583A">
        <w:rPr>
          <w:rFonts w:eastAsia="Calibri"/>
        </w:rPr>
        <w:t>ể bảo đảm tính linh hoạt, bổ sung</w:t>
      </w:r>
      <w:r w:rsidRPr="00F9583A">
        <w:t xml:space="preserve"> tại điểm này quy định “</w:t>
      </w:r>
      <w:r w:rsidRPr="00F9583A">
        <w:rPr>
          <w:i/>
        </w:rPr>
        <w:t>Trường hợp cần điều chỉnh hạn mức để phù hợp với điều kiện kinh tế - xã hội và yêu cầu quản lý nhà nước, Chính  phủ báo cáo Ủy ban Thường vụ Quốc hội xem xét, quyết định</w:t>
      </w:r>
      <w:r w:rsidRPr="00F9583A">
        <w:t>”.</w:t>
      </w:r>
    </w:p>
    <w:p w:rsidR="00C16CEB" w:rsidRPr="00F9583A" w:rsidRDefault="001074C2" w:rsidP="000C4AC7">
      <w:pPr>
        <w:spacing w:before="60" w:after="60" w:line="380" w:lineRule="exact"/>
        <w:ind w:firstLine="720"/>
        <w:jc w:val="both"/>
        <w:rPr>
          <w:b/>
          <w:i/>
        </w:rPr>
      </w:pPr>
      <w:r w:rsidRPr="00F9583A">
        <w:rPr>
          <w:b/>
          <w:i/>
        </w:rPr>
        <w:t>4</w:t>
      </w:r>
      <w:r w:rsidR="00C16CEB" w:rsidRPr="00F9583A">
        <w:rPr>
          <w:b/>
          <w:i/>
        </w:rPr>
        <w:t xml:space="preserve">. Về lựa chọn nhà thầu trong trường hợp đặc biệt </w:t>
      </w:r>
    </w:p>
    <w:p w:rsidR="00C16CEB" w:rsidRPr="00F9583A" w:rsidRDefault="00C16CEB" w:rsidP="000C4AC7">
      <w:pPr>
        <w:spacing w:before="60" w:after="60" w:line="380" w:lineRule="exact"/>
        <w:ind w:firstLine="720"/>
        <w:jc w:val="both"/>
        <w:rPr>
          <w:lang w:val="en-GB"/>
        </w:rPr>
      </w:pPr>
      <w:r w:rsidRPr="00F9583A">
        <w:rPr>
          <w:lang w:val="vi-VN"/>
        </w:rPr>
        <w:t>Thường trực Ủy ban TCNS đã phối hợp với cơ quan soạn thảo rà soát, tiếp thu</w:t>
      </w:r>
      <w:r w:rsidRPr="00F9583A">
        <w:t xml:space="preserve"> ý kiến của Ủy ban Thường vụ Quốc hội, chỉnh lý quy định về</w:t>
      </w:r>
      <w:r w:rsidRPr="00F9583A">
        <w:rPr>
          <w:b/>
          <w:i/>
        </w:rPr>
        <w:t xml:space="preserve"> </w:t>
      </w:r>
      <w:r w:rsidRPr="00F9583A">
        <w:t xml:space="preserve">lựa chọn nhà thầu, nhà đầu tư trong trường hợp đặc biệt </w:t>
      </w:r>
      <w:r w:rsidR="001074C2" w:rsidRPr="00F9583A">
        <w:t xml:space="preserve">(tại Điều 29) </w:t>
      </w:r>
      <w:r w:rsidRPr="00F9583A">
        <w:t xml:space="preserve">theo hướng: quy định rõ </w:t>
      </w:r>
      <w:r w:rsidR="00FA6D78" w:rsidRPr="00F9583A">
        <w:t xml:space="preserve">điều kiện áp dụng </w:t>
      </w:r>
      <w:r w:rsidRPr="00F9583A">
        <w:t xml:space="preserve">trường hợp đặc biệt </w:t>
      </w:r>
      <w:r w:rsidR="00FA6D78" w:rsidRPr="00F9583A">
        <w:t xml:space="preserve">đối với các gói thầu không thể </w:t>
      </w:r>
      <w:r w:rsidR="001720A0" w:rsidRPr="00F9583A">
        <w:t>thực hiện</w:t>
      </w:r>
      <w:r w:rsidR="00FA6D78" w:rsidRPr="00F9583A">
        <w:t xml:space="preserve"> theo </w:t>
      </w:r>
      <w:r w:rsidR="001720A0" w:rsidRPr="00F9583A">
        <w:t xml:space="preserve">các </w:t>
      </w:r>
      <w:r w:rsidR="00FA6D78" w:rsidRPr="00F9583A">
        <w:t xml:space="preserve">hình thức thông thường khác và chỉ đối với các trường hợp cụ thể như: </w:t>
      </w:r>
      <w:r w:rsidRPr="00F9583A">
        <w:rPr>
          <w:lang w:val="vi-VN"/>
        </w:rPr>
        <w:t>Gói thầu mua sắm thông qua các tổ chức quốc tế;</w:t>
      </w:r>
      <w:r w:rsidRPr="00F9583A">
        <w:t xml:space="preserve"> </w:t>
      </w:r>
      <w:r w:rsidRPr="00F9583A">
        <w:rPr>
          <w:lang w:val="vi-VN"/>
        </w:rPr>
        <w:t>Gói thầu mua sắm vắc xin trong quá trình thử nghiệm, có yêu cầu của nhà sản xuất về điều kiện mua, thanh toán, bảo lãnh</w:t>
      </w:r>
      <w:r w:rsidRPr="00F9583A">
        <w:t xml:space="preserve"> </w:t>
      </w:r>
      <w:r w:rsidR="00FA6D78" w:rsidRPr="00F9583A">
        <w:t xml:space="preserve">và </w:t>
      </w:r>
      <w:r w:rsidR="006248D9" w:rsidRPr="00F9583A">
        <w:t>luật</w:t>
      </w:r>
      <w:r w:rsidR="001720A0" w:rsidRPr="00F9583A">
        <w:t xml:space="preserve"> hóa một số trường hợp thật sự cần thiết quy định tại Quyết định số 17/2019/QĐ-TTg của Thủ tướng Chính phủ</w:t>
      </w:r>
      <w:r w:rsidR="00FA6D78" w:rsidRPr="00F9583A">
        <w:t xml:space="preserve"> để bảo đảm tính minh bạch, rõ ràng</w:t>
      </w:r>
      <w:r w:rsidR="001720A0" w:rsidRPr="00F9583A">
        <w:rPr>
          <w:rStyle w:val="FootnoteReference"/>
        </w:rPr>
        <w:footnoteReference w:id="7"/>
      </w:r>
      <w:r w:rsidR="00FA6D78" w:rsidRPr="00F9583A">
        <w:t>. Đồng thời, q</w:t>
      </w:r>
      <w:r w:rsidRPr="00F9583A">
        <w:t xml:space="preserve">uy định </w:t>
      </w:r>
      <w:r w:rsidR="00FA6D78" w:rsidRPr="00F9583A">
        <w:t xml:space="preserve">rõ </w:t>
      </w:r>
      <w:r w:rsidRPr="00F9583A">
        <w:t xml:space="preserve">trách nhiệm, thẩm quyền </w:t>
      </w:r>
      <w:r w:rsidRPr="00F9583A">
        <w:rPr>
          <w:spacing w:val="-2"/>
          <w:lang w:val="fr-FR"/>
        </w:rPr>
        <w:t>quyết định phê duyệt phương án lựa chọn nhà thầu trong trường hợp đặc biệt</w:t>
      </w:r>
      <w:r w:rsidRPr="00F9583A">
        <w:t xml:space="preserve">. </w:t>
      </w:r>
      <w:r w:rsidR="001720A0" w:rsidRPr="00F9583A">
        <w:t>Vì vậy, n</w:t>
      </w:r>
      <w:r w:rsidR="001074C2" w:rsidRPr="00F9583A">
        <w:t xml:space="preserve">ội dung tại Điều này bổ sung một số trường hợp </w:t>
      </w:r>
      <w:r w:rsidR="001720A0" w:rsidRPr="00F9583A">
        <w:t>so với</w:t>
      </w:r>
      <w:r w:rsidR="001074C2" w:rsidRPr="00F9583A">
        <w:t xml:space="preserve"> </w:t>
      </w:r>
      <w:r w:rsidR="001720A0" w:rsidRPr="00F9583A">
        <w:t xml:space="preserve">Dự thảo luật </w:t>
      </w:r>
      <w:r w:rsidR="001074C2" w:rsidRPr="00F9583A">
        <w:t>Chính phủ</w:t>
      </w:r>
      <w:r w:rsidR="001720A0" w:rsidRPr="00F9583A">
        <w:t xml:space="preserve"> trình Quốc hội tại Kỳ họp thứ 4</w:t>
      </w:r>
      <w:r w:rsidR="001074C2" w:rsidRPr="00F9583A">
        <w:t>, đề nghị ĐBQH quan tâm, cho ý kiến để tiếp tục hoàn thiện dự thảo luật trình Quốc hội.</w:t>
      </w:r>
    </w:p>
    <w:p w:rsidR="00C16CEB" w:rsidRPr="00F9583A" w:rsidRDefault="001074C2" w:rsidP="000C4AC7">
      <w:pPr>
        <w:spacing w:before="60" w:after="60" w:line="380" w:lineRule="exact"/>
        <w:ind w:firstLine="720"/>
        <w:jc w:val="both"/>
        <w:rPr>
          <w:b/>
          <w:bCs/>
          <w:i/>
          <w:spacing w:val="-2"/>
        </w:rPr>
      </w:pPr>
      <w:r w:rsidRPr="00F9583A">
        <w:rPr>
          <w:b/>
          <w:bCs/>
          <w:i/>
          <w:spacing w:val="-2"/>
          <w:lang w:val="en-GB"/>
        </w:rPr>
        <w:t>5</w:t>
      </w:r>
      <w:r w:rsidR="00C16CEB" w:rsidRPr="00F9583A">
        <w:rPr>
          <w:b/>
          <w:bCs/>
          <w:i/>
          <w:spacing w:val="-2"/>
          <w:lang w:val="en-GB"/>
        </w:rPr>
        <w:t xml:space="preserve">. </w:t>
      </w:r>
      <w:r w:rsidR="00C16CEB" w:rsidRPr="00F9583A">
        <w:rPr>
          <w:b/>
          <w:bCs/>
          <w:i/>
          <w:spacing w:val="-2"/>
        </w:rPr>
        <w:t>Về</w:t>
      </w:r>
      <w:r w:rsidR="00C16CEB" w:rsidRPr="00F9583A">
        <w:rPr>
          <w:b/>
          <w:bCs/>
          <w:i/>
          <w:spacing w:val="-2"/>
          <w:lang w:val="vi-VN"/>
        </w:rPr>
        <w:t xml:space="preserve"> đấu thầu lựa chọn nhà đầu tư dự án có sử dụng đất </w:t>
      </w:r>
    </w:p>
    <w:p w:rsidR="00C16CEB" w:rsidRPr="00F9583A" w:rsidRDefault="00C16CEB" w:rsidP="000C4AC7">
      <w:pPr>
        <w:widowControl w:val="0"/>
        <w:tabs>
          <w:tab w:val="left" w:pos="851"/>
        </w:tabs>
        <w:spacing w:before="60" w:after="60" w:line="380" w:lineRule="exact"/>
        <w:ind w:firstLine="720"/>
        <w:jc w:val="both"/>
        <w:rPr>
          <w:lang w:val="vi-VN"/>
        </w:rPr>
      </w:pPr>
      <w:r w:rsidRPr="00F9583A">
        <w:rPr>
          <w:lang w:val="vi-VN"/>
        </w:rPr>
        <w:t xml:space="preserve">Thường trực Ủy ban TCNS tiếp thu theo hướng: Luật Đấu thầu quy định về hồ sơ, trình tự, thủ tục đấu thầu lựa chọn nhà đầu tư thực hiện dự án </w:t>
      </w:r>
      <w:r w:rsidRPr="00F9583A">
        <w:t xml:space="preserve">trong </w:t>
      </w:r>
      <w:r w:rsidRPr="00F9583A">
        <w:rPr>
          <w:lang w:val="vi-VN"/>
        </w:rPr>
        <w:t xml:space="preserve">trường hợp phải đấu thầu </w:t>
      </w:r>
      <w:r w:rsidRPr="00F9583A">
        <w:t xml:space="preserve">được quy </w:t>
      </w:r>
      <w:r w:rsidRPr="00F9583A">
        <w:rPr>
          <w:lang w:val="vi-VN"/>
        </w:rPr>
        <w:t>định trong luật đất đai</w:t>
      </w:r>
      <w:r w:rsidR="00FA6D78" w:rsidRPr="00F9583A">
        <w:t>.</w:t>
      </w:r>
      <w:r w:rsidRPr="00F9583A">
        <w:rPr>
          <w:lang w:val="vi-VN"/>
        </w:rPr>
        <w:t xml:space="preserve"> Theo đó, giữ quy định tại điểm a khoản 3 Điều 2; đồng thời bỏ quy định về “Công bố dự án đầu tư có </w:t>
      </w:r>
      <w:r w:rsidRPr="00F9583A">
        <w:rPr>
          <w:lang w:val="vi-VN"/>
        </w:rPr>
        <w:lastRenderedPageBreak/>
        <w:t>sử dụng đất”, lồng ghép nội dung giữa Điều 4</w:t>
      </w:r>
      <w:r w:rsidR="001720A0" w:rsidRPr="00F9583A">
        <w:t>4</w:t>
      </w:r>
      <w:r w:rsidRPr="00F9583A">
        <w:rPr>
          <w:lang w:val="vi-VN"/>
        </w:rPr>
        <w:t xml:space="preserve"> và 4</w:t>
      </w:r>
      <w:r w:rsidR="001720A0" w:rsidRPr="00F9583A">
        <w:t>5 của dự thảo luật trình Q</w:t>
      </w:r>
      <w:r w:rsidR="008A4F30" w:rsidRPr="00F9583A">
        <w:t>u</w:t>
      </w:r>
      <w:r w:rsidR="001720A0" w:rsidRPr="00F9583A">
        <w:t>ốc hội</w:t>
      </w:r>
      <w:r w:rsidRPr="00F9583A">
        <w:rPr>
          <w:lang w:val="vi-VN"/>
        </w:rPr>
        <w:t xml:space="preserve"> thành Điều 4</w:t>
      </w:r>
      <w:r w:rsidR="001720A0" w:rsidRPr="00F9583A">
        <w:t>7</w:t>
      </w:r>
      <w:r w:rsidRPr="00F9583A">
        <w:rPr>
          <w:lang w:val="vi-VN"/>
        </w:rPr>
        <w:t xml:space="preserve"> mới về “Công bố dự án đầu tư kinh doanh”.</w:t>
      </w:r>
    </w:p>
    <w:p w:rsidR="00C16CEB" w:rsidRPr="00F9583A" w:rsidRDefault="001074C2" w:rsidP="000C4AC7">
      <w:pPr>
        <w:pStyle w:val="Normal1"/>
        <w:spacing w:before="60" w:beforeAutospacing="0" w:after="60" w:afterAutospacing="0" w:line="380" w:lineRule="exact"/>
        <w:ind w:firstLine="720"/>
        <w:jc w:val="both"/>
        <w:rPr>
          <w:rStyle w:val="normalchar"/>
          <w:rFonts w:ascii="Calibri" w:eastAsia="Calibri" w:hAnsi="Calibri"/>
          <w:b/>
          <w:i/>
          <w:sz w:val="28"/>
          <w:szCs w:val="28"/>
        </w:rPr>
      </w:pPr>
      <w:r w:rsidRPr="00F9583A">
        <w:rPr>
          <w:rStyle w:val="normalchar"/>
          <w:rFonts w:eastAsia="Calibri"/>
          <w:b/>
          <w:bCs/>
          <w:i/>
          <w:sz w:val="28"/>
          <w:szCs w:val="28"/>
        </w:rPr>
        <w:t>6</w:t>
      </w:r>
      <w:r w:rsidR="00C16CEB" w:rsidRPr="00F9583A">
        <w:rPr>
          <w:rStyle w:val="normalchar"/>
          <w:rFonts w:eastAsia="Calibri"/>
          <w:b/>
          <w:bCs/>
          <w:i/>
          <w:sz w:val="28"/>
          <w:szCs w:val="28"/>
        </w:rPr>
        <w:t>. Về mua thuốc, vật tư y tế</w:t>
      </w:r>
      <w:r w:rsidR="00C16CEB" w:rsidRPr="00F9583A">
        <w:rPr>
          <w:rStyle w:val="normalchar"/>
          <w:rFonts w:eastAsia="Calibri"/>
          <w:b/>
          <w:i/>
          <w:sz w:val="28"/>
          <w:szCs w:val="28"/>
        </w:rPr>
        <w:t xml:space="preserve"> </w:t>
      </w:r>
    </w:p>
    <w:p w:rsidR="00C16CEB" w:rsidRPr="00F9583A" w:rsidRDefault="00C16CEB" w:rsidP="000C4AC7">
      <w:pPr>
        <w:pStyle w:val="Normal1"/>
        <w:spacing w:before="60" w:beforeAutospacing="0" w:after="60" w:afterAutospacing="0" w:line="380" w:lineRule="exact"/>
        <w:ind w:firstLine="720"/>
        <w:jc w:val="both"/>
        <w:rPr>
          <w:rStyle w:val="normalchar"/>
          <w:rFonts w:eastAsia="Calibri"/>
          <w:sz w:val="28"/>
          <w:szCs w:val="28"/>
        </w:rPr>
      </w:pPr>
      <w:r w:rsidRPr="00F9583A">
        <w:rPr>
          <w:sz w:val="28"/>
          <w:szCs w:val="28"/>
        </w:rPr>
        <w:t xml:space="preserve">Thường trực Ủy ban TCNS </w:t>
      </w:r>
      <w:r w:rsidRPr="00F9583A">
        <w:rPr>
          <w:rStyle w:val="normalchar"/>
          <w:rFonts w:eastAsia="Calibri"/>
          <w:sz w:val="28"/>
          <w:szCs w:val="28"/>
        </w:rPr>
        <w:t xml:space="preserve">đã tiếp thu, chỉnh lý tại nhiều điều, khoản để quy định </w:t>
      </w:r>
      <w:r w:rsidR="00FA6D78" w:rsidRPr="00F9583A">
        <w:rPr>
          <w:rStyle w:val="normalchar"/>
          <w:rFonts w:eastAsia="Calibri"/>
          <w:sz w:val="28"/>
          <w:szCs w:val="28"/>
        </w:rPr>
        <w:t>để luật hóa, giải quyết các khó khăn, vướng mắc đang được dư luận quan tâm về</w:t>
      </w:r>
      <w:r w:rsidRPr="00F9583A">
        <w:rPr>
          <w:rStyle w:val="normalchar"/>
          <w:rFonts w:eastAsia="Calibri"/>
          <w:sz w:val="28"/>
          <w:szCs w:val="28"/>
        </w:rPr>
        <w:t xml:space="preserve"> vấn đề mua thuốc, trang thiết bị y tế.</w:t>
      </w:r>
      <w:r w:rsidR="00FA6D78" w:rsidRPr="00F9583A">
        <w:rPr>
          <w:rStyle w:val="normalchar"/>
          <w:rFonts w:eastAsia="Calibri"/>
          <w:sz w:val="28"/>
          <w:szCs w:val="28"/>
        </w:rPr>
        <w:t xml:space="preserve"> Những nội dung này được chỉnh lý trên cơ sở tiếp thu ý kiến của ĐBQH, làm việc với một số bệnh viện lớn tại Hà Nội và đã được sự đồng thuận của Bộ Y tế, cơ quan soạn thảo.</w:t>
      </w:r>
      <w:r w:rsidRPr="00F9583A">
        <w:rPr>
          <w:rStyle w:val="normalchar"/>
          <w:rFonts w:eastAsia="Calibri"/>
          <w:sz w:val="28"/>
          <w:szCs w:val="28"/>
        </w:rPr>
        <w:t xml:space="preserve"> Cụ thể:</w:t>
      </w:r>
    </w:p>
    <w:p w:rsidR="00C16CEB" w:rsidRPr="00F9583A" w:rsidRDefault="00C16CEB" w:rsidP="000C4AC7">
      <w:pPr>
        <w:pStyle w:val="Normal1"/>
        <w:spacing w:before="60" w:beforeAutospacing="0" w:after="60" w:afterAutospacing="0" w:line="380" w:lineRule="exact"/>
        <w:ind w:firstLine="720"/>
        <w:jc w:val="both"/>
        <w:rPr>
          <w:rStyle w:val="normalchar"/>
          <w:rFonts w:eastAsia="Calibri"/>
          <w:sz w:val="28"/>
          <w:szCs w:val="28"/>
        </w:rPr>
      </w:pPr>
      <w:r w:rsidRPr="00F9583A">
        <w:rPr>
          <w:rStyle w:val="normalchar"/>
          <w:rFonts w:eastAsia="Calibri"/>
          <w:sz w:val="28"/>
          <w:szCs w:val="28"/>
        </w:rPr>
        <w:t xml:space="preserve"> + Điều 23 về Chỉ định thầu quy định áp dụng chỉ định thầu đối với “</w:t>
      </w:r>
      <w:r w:rsidRPr="00F9583A">
        <w:rPr>
          <w:rStyle w:val="normalchar"/>
          <w:rFonts w:eastAsia="Calibri"/>
          <w:i/>
          <w:sz w:val="28"/>
          <w:szCs w:val="28"/>
        </w:rPr>
        <w:t>Gói thầu cung cấp dịch vụ tư vấn, phi tư vấn, thuốc, hóa chất, phương tiện, trang thiết bị y tế, xây lắp phục vụ công tác phòng, chống dịch bệnh, cấp cứu người bệnh cần triển khai ngay để tránh gây nguy hại đến tính mạng, sức khỏe người dân</w:t>
      </w:r>
      <w:r w:rsidRPr="00F9583A">
        <w:rPr>
          <w:rStyle w:val="normalchar"/>
          <w:rFonts w:eastAsia="Calibri"/>
          <w:sz w:val="28"/>
          <w:szCs w:val="28"/>
        </w:rPr>
        <w:t xml:space="preserve">”; </w:t>
      </w:r>
    </w:p>
    <w:p w:rsidR="00C16CEB" w:rsidRPr="00F9583A" w:rsidRDefault="00C16CEB" w:rsidP="000C4AC7">
      <w:pPr>
        <w:pStyle w:val="Normal1"/>
        <w:spacing w:before="60" w:beforeAutospacing="0" w:after="60" w:afterAutospacing="0" w:line="380" w:lineRule="exact"/>
        <w:ind w:firstLine="720"/>
        <w:jc w:val="both"/>
        <w:rPr>
          <w:rStyle w:val="normalchar"/>
          <w:rFonts w:eastAsia="Calibri"/>
          <w:sz w:val="28"/>
          <w:szCs w:val="28"/>
        </w:rPr>
      </w:pPr>
      <w:r w:rsidRPr="00F9583A">
        <w:rPr>
          <w:rStyle w:val="normalchar"/>
          <w:rFonts w:eastAsia="Calibri"/>
          <w:sz w:val="28"/>
          <w:szCs w:val="28"/>
        </w:rPr>
        <w:t xml:space="preserve">+ Điều 28 về Hình thức “đàm phán giá” được quy định áp dụng riêng đối với “các gói thầu mua biệt dược gốc, sinh phẩm tham chiếu; thuốc, dược liệu chỉ có từ 01 đến 02 nhà sản xuất và trường hợp đặc thù khác”; </w:t>
      </w:r>
    </w:p>
    <w:p w:rsidR="00C16CEB" w:rsidRPr="00F9583A" w:rsidRDefault="00C16CEB" w:rsidP="000C4AC7">
      <w:pPr>
        <w:pStyle w:val="Normal1"/>
        <w:spacing w:before="60" w:beforeAutospacing="0" w:after="60" w:afterAutospacing="0" w:line="380" w:lineRule="exact"/>
        <w:ind w:firstLine="720"/>
        <w:jc w:val="both"/>
        <w:rPr>
          <w:rStyle w:val="normalchar"/>
          <w:rFonts w:eastAsia="Calibri"/>
          <w:sz w:val="28"/>
          <w:szCs w:val="28"/>
        </w:rPr>
      </w:pPr>
      <w:r w:rsidRPr="00F9583A">
        <w:rPr>
          <w:rStyle w:val="normalchar"/>
          <w:rFonts w:eastAsia="Calibri"/>
          <w:sz w:val="28"/>
          <w:szCs w:val="28"/>
        </w:rPr>
        <w:t>+ Chương V (từ điều 5</w:t>
      </w:r>
      <w:r w:rsidR="001720A0" w:rsidRPr="00F9583A">
        <w:rPr>
          <w:rStyle w:val="normalchar"/>
          <w:rFonts w:eastAsia="Calibri"/>
          <w:sz w:val="28"/>
          <w:szCs w:val="28"/>
        </w:rPr>
        <w:t>4</w:t>
      </w:r>
      <w:r w:rsidRPr="00F9583A">
        <w:rPr>
          <w:rStyle w:val="normalchar"/>
          <w:rFonts w:eastAsia="Calibri"/>
          <w:sz w:val="28"/>
          <w:szCs w:val="28"/>
        </w:rPr>
        <w:t xml:space="preserve"> đến điều 5</w:t>
      </w:r>
      <w:r w:rsidR="001720A0" w:rsidRPr="00F9583A">
        <w:rPr>
          <w:rStyle w:val="normalchar"/>
          <w:rFonts w:eastAsia="Calibri"/>
          <w:sz w:val="28"/>
          <w:szCs w:val="28"/>
        </w:rPr>
        <w:t>7</w:t>
      </w:r>
      <w:r w:rsidRPr="00F9583A">
        <w:rPr>
          <w:rStyle w:val="normalchar"/>
          <w:rFonts w:eastAsia="Calibri"/>
          <w:sz w:val="28"/>
          <w:szCs w:val="28"/>
        </w:rPr>
        <w:t xml:space="preserve">) quy định về “mua sắm tập trung, mua thuốc”… </w:t>
      </w:r>
      <w:r w:rsidR="008A4F30" w:rsidRPr="00F9583A">
        <w:rPr>
          <w:rStyle w:val="normalchar"/>
          <w:rFonts w:eastAsia="Calibri"/>
          <w:sz w:val="28"/>
          <w:szCs w:val="28"/>
        </w:rPr>
        <w:t>Trong đó, Điều 56 đã quy định bao quát các trường hợp mua hóa chất, trang thiết bị y tế, trong đó quy định rõ về thời hạn đấu thầu hóa chất đi kèm sử dụng máy đặt, máy mượn để xét nghiệm tại các bệnh viện hiện nay là 05 năm kể từ ngày luật này có hiệu lực (tại điểm a, khoản 1 Điều 56). Quy định việc lựa chọn nhà thầu theo số lượng dịch vụ y tế để đảm bảo tính hiệu quả, công khai, minh bạch (điểm b, khoản 1 Điều 56).</w:t>
      </w:r>
    </w:p>
    <w:p w:rsidR="00C16CEB" w:rsidRPr="00F9583A" w:rsidRDefault="001074C2" w:rsidP="000C4AC7">
      <w:pPr>
        <w:pStyle w:val="Heading3"/>
        <w:keepNext w:val="0"/>
        <w:widowControl w:val="0"/>
        <w:tabs>
          <w:tab w:val="left" w:pos="851"/>
        </w:tabs>
        <w:spacing w:before="60" w:after="60" w:line="380" w:lineRule="exact"/>
        <w:ind w:firstLine="709"/>
        <w:jc w:val="both"/>
        <w:rPr>
          <w:rFonts w:ascii="Times New Roman" w:hAnsi="Times New Roman"/>
          <w:bCs w:val="0"/>
          <w:sz w:val="28"/>
          <w:szCs w:val="28"/>
        </w:rPr>
      </w:pPr>
      <w:r w:rsidRPr="00F9583A">
        <w:rPr>
          <w:rStyle w:val="normalchar"/>
          <w:rFonts w:eastAsia="Calibri"/>
          <w:sz w:val="28"/>
          <w:szCs w:val="28"/>
        </w:rPr>
        <w:t>7</w:t>
      </w:r>
      <w:r w:rsidR="00C16CEB" w:rsidRPr="00F9583A">
        <w:rPr>
          <w:rStyle w:val="normalchar"/>
          <w:rFonts w:eastAsia="Calibri"/>
          <w:sz w:val="28"/>
          <w:szCs w:val="28"/>
        </w:rPr>
        <w:t>. Về b</w:t>
      </w:r>
      <w:r w:rsidR="00C16CEB" w:rsidRPr="00F9583A">
        <w:rPr>
          <w:rFonts w:ascii="Times New Roman" w:hAnsi="Times New Roman"/>
          <w:bCs w:val="0"/>
          <w:sz w:val="28"/>
          <w:szCs w:val="28"/>
        </w:rPr>
        <w:t>ảo đảm cạnh tranh trong đấu thầu</w:t>
      </w:r>
    </w:p>
    <w:p w:rsidR="00C16CEB" w:rsidRPr="00F9583A" w:rsidRDefault="00C16CEB" w:rsidP="000C4AC7">
      <w:pPr>
        <w:spacing w:before="60" w:after="60" w:line="380" w:lineRule="exact"/>
        <w:ind w:firstLine="709"/>
        <w:jc w:val="both"/>
        <w:rPr>
          <w:lang w:eastAsia="x-none"/>
        </w:rPr>
      </w:pPr>
      <w:r w:rsidRPr="00F9583A">
        <w:rPr>
          <w:spacing w:val="-4"/>
        </w:rPr>
        <w:t xml:space="preserve">Tiếp thu ý kiến của Đại biểu Quốc hội, Thường trực Ủy ban TCNS chỉnh lý dự thảo Luật theo hướng bỏ quy định tại khoản 4 Điều 6 dự thảo Luật trình Quốc hội, đồng thời bổ sung quy định để làm rõ yêu cầu bảo đảm cạnh tranh giữa chủ đầu tư, bên mời thầu với nhà thầu là các đơn vị sự nghiệp công lập, công ty con trong Tập đoàn kinh tế, Tổng công ty nhà nước. </w:t>
      </w:r>
      <w:r w:rsidRPr="00F9583A">
        <w:rPr>
          <w:lang w:eastAsia="x-none"/>
        </w:rPr>
        <w:t xml:space="preserve">Quy định này nhằm tạo điều kiện cho các đơn vị sự nghiệp công lập </w:t>
      </w:r>
      <w:r w:rsidR="00116C16" w:rsidRPr="00F9583A">
        <w:rPr>
          <w:lang w:eastAsia="x-none"/>
        </w:rPr>
        <w:t xml:space="preserve">có năng lực chuyên sâu </w:t>
      </w:r>
      <w:r w:rsidRPr="00F9583A">
        <w:rPr>
          <w:lang w:eastAsia="x-none"/>
        </w:rPr>
        <w:t>tham dự thầu gói thầu do cơ quan quản lý nhà nước làm chủ đầu tư; công ty con tham dự thầu gói thầu do công ty mẹ làm chủ đầu tư để tận dụng lợi thế, sở trường trong các lĩnh vực sản xuất, kinh doanh chính của các đơn vị sự nghiệp công lập, công ty con (điểm a khoản 2 Điều 6).</w:t>
      </w:r>
    </w:p>
    <w:p w:rsidR="00FE66F8" w:rsidRPr="00F9583A" w:rsidRDefault="00FE66F8" w:rsidP="000C4AC7">
      <w:pPr>
        <w:spacing w:before="60" w:after="60" w:line="380" w:lineRule="exact"/>
        <w:ind w:firstLine="709"/>
        <w:jc w:val="both"/>
        <w:rPr>
          <w:lang w:eastAsia="x-none"/>
        </w:rPr>
      </w:pPr>
    </w:p>
    <w:p w:rsidR="00FE66F8" w:rsidRPr="00F9583A" w:rsidRDefault="00FE66F8" w:rsidP="000C4AC7">
      <w:pPr>
        <w:spacing w:before="60" w:after="60" w:line="380" w:lineRule="exact"/>
        <w:ind w:firstLine="709"/>
        <w:jc w:val="both"/>
        <w:rPr>
          <w:lang w:eastAsia="x-none"/>
        </w:rPr>
      </w:pPr>
    </w:p>
    <w:p w:rsidR="001074C2" w:rsidRPr="00F9583A" w:rsidRDefault="001074C2" w:rsidP="001074C2">
      <w:pPr>
        <w:spacing w:before="60" w:after="60" w:line="380" w:lineRule="exact"/>
        <w:ind w:firstLine="720"/>
        <w:jc w:val="both"/>
        <w:rPr>
          <w:b/>
          <w:bCs/>
          <w:i/>
        </w:rPr>
      </w:pPr>
      <w:r w:rsidRPr="00F9583A">
        <w:rPr>
          <w:b/>
          <w:bCs/>
          <w:i/>
        </w:rPr>
        <w:lastRenderedPageBreak/>
        <w:t>8. Về yêu cầu đối với tổ chuyên gia, tổ thẩm định</w:t>
      </w:r>
    </w:p>
    <w:p w:rsidR="001074C2" w:rsidRPr="00F9583A" w:rsidRDefault="001074C2" w:rsidP="001074C2">
      <w:pPr>
        <w:spacing w:before="60" w:after="60" w:line="380" w:lineRule="exact"/>
        <w:ind w:firstLine="720"/>
        <w:jc w:val="both"/>
        <w:rPr>
          <w:bCs/>
          <w:iCs/>
        </w:rPr>
      </w:pPr>
      <w:r w:rsidRPr="00F9583A">
        <w:rPr>
          <w:bCs/>
          <w:iCs/>
          <w:spacing w:val="-2"/>
        </w:rPr>
        <w:t xml:space="preserve">Trong quá </w:t>
      </w:r>
      <w:r w:rsidR="00FE66F8" w:rsidRPr="00F9583A">
        <w:rPr>
          <w:bCs/>
          <w:iCs/>
          <w:spacing w:val="-2"/>
        </w:rPr>
        <w:t>trình</w:t>
      </w:r>
      <w:r w:rsidRPr="00F9583A">
        <w:rPr>
          <w:bCs/>
          <w:iCs/>
          <w:spacing w:val="-2"/>
        </w:rPr>
        <w:t xml:space="preserve"> rà soát, chỉnh lý dự thảo luật, Cơ quan soạn thảo đề nghị bổ sung quy định nhằm góp phần nâng cao trình độ chuyên môn, tính chuyên</w:t>
      </w:r>
      <w:r w:rsidRPr="00F9583A">
        <w:rPr>
          <w:bCs/>
          <w:iCs/>
        </w:rPr>
        <w:t xml:space="preserve"> </w:t>
      </w:r>
      <w:r w:rsidRPr="00F9583A">
        <w:rPr>
          <w:bCs/>
          <w:iCs/>
          <w:spacing w:val="-2"/>
        </w:rPr>
        <w:t>nghiệp của cá nhân trực tiếp tham gia lập hồ sơ mời thầu, đánh giá hồ sơ dự thầu, thẩm định trong đấu thầu (Nội dung này chưa có trong Tờ trình của Chính phủ), theo đó, đề nghị bổ sung quy định tại Điều 19 về yêu cầu đối với tổ chuyên gia, tổ thẩm định</w:t>
      </w:r>
      <w:r w:rsidRPr="00F9583A">
        <w:rPr>
          <w:bCs/>
          <w:iCs/>
        </w:rPr>
        <w:t xml:space="preserve">. </w:t>
      </w:r>
    </w:p>
    <w:p w:rsidR="00C16CEB" w:rsidRPr="00F9583A" w:rsidRDefault="00C16CEB" w:rsidP="000C4AC7">
      <w:pPr>
        <w:spacing w:before="60" w:after="60" w:line="380" w:lineRule="exact"/>
        <w:ind w:firstLine="709"/>
        <w:jc w:val="both"/>
        <w:rPr>
          <w:lang w:eastAsia="x-none"/>
        </w:rPr>
      </w:pPr>
      <w:r w:rsidRPr="00F9583A">
        <w:rPr>
          <w:b/>
          <w:i/>
          <w:lang w:eastAsia="x-none"/>
        </w:rPr>
        <w:t>9.</w:t>
      </w:r>
      <w:r w:rsidRPr="00F9583A">
        <w:rPr>
          <w:lang w:eastAsia="x-none"/>
        </w:rPr>
        <w:t xml:space="preserve"> Ngoài một số nội dung chính nêu trên, dự thảo luật chỉnh lý đã được rà soát, tiếp thu nhiều điều, khoản về nội dung, kỹ thuật lập pháp. </w:t>
      </w:r>
    </w:p>
    <w:p w:rsidR="00C16CEB" w:rsidRPr="00F9583A" w:rsidRDefault="00C16CEB" w:rsidP="000C4AC7">
      <w:pPr>
        <w:pStyle w:val="BodyText"/>
        <w:spacing w:before="60" w:after="60" w:line="380" w:lineRule="exact"/>
        <w:ind w:firstLine="567"/>
        <w:jc w:val="center"/>
        <w:rPr>
          <w:lang w:val="it-IT"/>
        </w:rPr>
      </w:pPr>
    </w:p>
    <w:p w:rsidR="00C16CEB" w:rsidRPr="00F9583A" w:rsidRDefault="00C16CEB" w:rsidP="000C4AC7">
      <w:pPr>
        <w:tabs>
          <w:tab w:val="left" w:pos="5725"/>
        </w:tabs>
        <w:spacing w:before="60" w:after="60" w:line="380" w:lineRule="exact"/>
        <w:ind w:firstLine="567"/>
        <w:jc w:val="both"/>
        <w:rPr>
          <w:spacing w:val="2"/>
        </w:rPr>
      </w:pPr>
      <w:r w:rsidRPr="00F9583A">
        <w:rPr>
          <w:iCs/>
          <w:lang w:val="vi-VN"/>
        </w:rPr>
        <w:t xml:space="preserve">Trên đây là </w:t>
      </w:r>
      <w:r w:rsidRPr="00F9583A">
        <w:rPr>
          <w:i/>
          <w:iCs/>
          <w:lang w:val="vi-VN"/>
        </w:rPr>
        <w:t>Báo cáo một số vấn đề lớn về việc giải trình, tiếp thu, chỉnh lý dự thảo Luật Đấu thầu</w:t>
      </w:r>
      <w:r w:rsidRPr="00F9583A">
        <w:rPr>
          <w:i/>
          <w:iCs/>
          <w:lang w:val="en-GB"/>
        </w:rPr>
        <w:t xml:space="preserve"> (sửa đổi)</w:t>
      </w:r>
      <w:r w:rsidR="002842D9" w:rsidRPr="00F9583A">
        <w:rPr>
          <w:rStyle w:val="FootnoteReference"/>
          <w:i/>
          <w:iCs/>
          <w:lang w:val="en-GB"/>
        </w:rPr>
        <w:footnoteReference w:id="8"/>
      </w:r>
      <w:r w:rsidRPr="00F9583A">
        <w:rPr>
          <w:iCs/>
          <w:lang w:val="vi-VN"/>
        </w:rPr>
        <w:t xml:space="preserve">, Thường trực Ủy ban </w:t>
      </w:r>
      <w:r w:rsidR="00DC1B86" w:rsidRPr="00F9583A">
        <w:rPr>
          <w:iCs/>
        </w:rPr>
        <w:t>TCNS</w:t>
      </w:r>
      <w:r w:rsidRPr="00F9583A">
        <w:rPr>
          <w:iCs/>
          <w:lang w:val="vi-VN"/>
        </w:rPr>
        <w:t xml:space="preserve"> xin trân trọng báo cáo </w:t>
      </w:r>
      <w:r w:rsidRPr="00F9583A">
        <w:rPr>
          <w:iCs/>
          <w:lang w:val="en-GB"/>
        </w:rPr>
        <w:t>các vị đại biểu Quốc hội</w:t>
      </w:r>
      <w:r w:rsidRPr="00F9583A">
        <w:rPr>
          <w:rFonts w:eastAsia="MS Mincho"/>
          <w:iCs/>
          <w:lang w:val="en-GB" w:eastAsia="ja-JP"/>
        </w:rPr>
        <w:t xml:space="preserve"> xem xét, cho ý kiến</w:t>
      </w:r>
      <w:r w:rsidRPr="00F9583A">
        <w:rPr>
          <w:iCs/>
          <w:lang w:val="vi-VN"/>
        </w:rPr>
        <w:t>.</w:t>
      </w:r>
      <w:r w:rsidRPr="00F9583A">
        <w:rPr>
          <w:iCs/>
        </w:rPr>
        <w:t xml:space="preserve"> Sau Hội nghị, </w:t>
      </w:r>
      <w:r w:rsidRPr="00F9583A">
        <w:rPr>
          <w:spacing w:val="-2"/>
          <w:lang w:val="nl-NL"/>
        </w:rPr>
        <w:t xml:space="preserve">Thường trực Ủy ban </w:t>
      </w:r>
      <w:r w:rsidR="00DC1B86" w:rsidRPr="00F9583A">
        <w:rPr>
          <w:spacing w:val="-2"/>
          <w:lang w:val="nl-NL"/>
        </w:rPr>
        <w:t>TCNS</w:t>
      </w:r>
      <w:r w:rsidRPr="00F9583A">
        <w:rPr>
          <w:spacing w:val="-2"/>
          <w:lang w:val="nl-NL"/>
        </w:rPr>
        <w:t xml:space="preserve"> sẽ tiếp tục phối hợp </w:t>
      </w:r>
      <w:bookmarkStart w:id="1" w:name="_GoBack"/>
      <w:bookmarkEnd w:id="1"/>
      <w:r w:rsidRPr="00F9583A">
        <w:rPr>
          <w:spacing w:val="-2"/>
          <w:lang w:val="nl-NL"/>
        </w:rPr>
        <w:t>với Cơ quan soạn thảo và các cơ qua</w:t>
      </w:r>
      <w:r w:rsidR="00D7750F" w:rsidRPr="00F9583A">
        <w:rPr>
          <w:spacing w:val="-2"/>
          <w:lang w:val="nl-NL"/>
        </w:rPr>
        <w:t xml:space="preserve">n hữu quan nghiên cứu, tiếp thu, </w:t>
      </w:r>
      <w:r w:rsidRPr="00F9583A">
        <w:rPr>
          <w:spacing w:val="-2"/>
          <w:lang w:val="nl-NL"/>
        </w:rPr>
        <w:t xml:space="preserve">hoàn </w:t>
      </w:r>
      <w:r w:rsidR="00D7750F" w:rsidRPr="00F9583A">
        <w:rPr>
          <w:spacing w:val="-2"/>
          <w:lang w:val="nl-NL"/>
        </w:rPr>
        <w:t>thiện dự thảo Luật để</w:t>
      </w:r>
      <w:r w:rsidRPr="00F9583A">
        <w:rPr>
          <w:spacing w:val="-2"/>
          <w:lang w:val="nl-NL"/>
        </w:rPr>
        <w:t xml:space="preserve"> báo cáo </w:t>
      </w:r>
      <w:r w:rsidR="001720A0" w:rsidRPr="00F9583A">
        <w:rPr>
          <w:spacing w:val="-2"/>
          <w:lang w:val="nl-NL"/>
        </w:rPr>
        <w:t>UBTVQH</w:t>
      </w:r>
      <w:r w:rsidRPr="00F9583A">
        <w:rPr>
          <w:spacing w:val="-2"/>
          <w:lang w:val="nl-NL"/>
        </w:rPr>
        <w:t xml:space="preserve"> trình Quốc hội xem xét, thông qua tại kỳ họp thứ 5.</w:t>
      </w:r>
      <w:r w:rsidRPr="00F9583A">
        <w:rPr>
          <w:spacing w:val="2"/>
        </w:rPr>
        <w:t xml:space="preserve"> </w:t>
      </w:r>
    </w:p>
    <w:p w:rsidR="00C16CEB" w:rsidRPr="00F9583A" w:rsidRDefault="00C16CEB" w:rsidP="00C16CEB">
      <w:pPr>
        <w:tabs>
          <w:tab w:val="left" w:pos="5725"/>
        </w:tabs>
        <w:spacing w:before="120" w:line="340" w:lineRule="atLeast"/>
        <w:ind w:firstLine="567"/>
        <w:jc w:val="both"/>
        <w:rPr>
          <w:rFonts w:ascii="Times New Roman Italic" w:hAnsi="Times New Roman Italic"/>
          <w:i/>
          <w:iCs/>
          <w:sz w:val="26"/>
          <w:szCs w:val="26"/>
          <w:lang w:val="en-GB"/>
        </w:rPr>
      </w:pPr>
    </w:p>
    <w:tbl>
      <w:tblPr>
        <w:tblW w:w="9072" w:type="dxa"/>
        <w:tblInd w:w="108" w:type="dxa"/>
        <w:tblLayout w:type="fixed"/>
        <w:tblLook w:val="0000" w:firstRow="0" w:lastRow="0" w:firstColumn="0" w:lastColumn="0" w:noHBand="0" w:noVBand="0"/>
      </w:tblPr>
      <w:tblGrid>
        <w:gridCol w:w="4678"/>
        <w:gridCol w:w="4394"/>
      </w:tblGrid>
      <w:tr w:rsidR="00F9583A" w:rsidRPr="00F9583A" w:rsidTr="00CB0F1C">
        <w:trPr>
          <w:trHeight w:val="1"/>
        </w:trPr>
        <w:tc>
          <w:tcPr>
            <w:tcW w:w="4678" w:type="dxa"/>
            <w:tcBorders>
              <w:top w:val="nil"/>
              <w:left w:val="nil"/>
              <w:bottom w:val="nil"/>
              <w:right w:val="nil"/>
            </w:tcBorders>
            <w:shd w:val="clear" w:color="000000" w:fill="FFFFFF"/>
          </w:tcPr>
          <w:p w:rsidR="00C16CEB" w:rsidRPr="00F9583A" w:rsidRDefault="00C16CEB" w:rsidP="00CB0F1C">
            <w:pPr>
              <w:autoSpaceDE w:val="0"/>
              <w:autoSpaceDN w:val="0"/>
              <w:adjustRightInd w:val="0"/>
              <w:rPr>
                <w:sz w:val="24"/>
                <w:szCs w:val="24"/>
                <w:lang w:val="vi-VN"/>
              </w:rPr>
            </w:pPr>
            <w:r w:rsidRPr="00F9583A">
              <w:rPr>
                <w:b/>
                <w:bCs/>
                <w:i/>
                <w:iCs/>
                <w:sz w:val="24"/>
                <w:szCs w:val="24"/>
                <w:lang w:val="vi-VN"/>
              </w:rPr>
              <w:t>Nơi nhận:</w:t>
            </w:r>
          </w:p>
          <w:p w:rsidR="00C16CEB" w:rsidRPr="00F9583A" w:rsidRDefault="00C16CEB" w:rsidP="00CB0F1C">
            <w:pPr>
              <w:autoSpaceDE w:val="0"/>
              <w:autoSpaceDN w:val="0"/>
              <w:adjustRightInd w:val="0"/>
              <w:rPr>
                <w:sz w:val="22"/>
                <w:szCs w:val="22"/>
                <w:lang w:val="en-GB"/>
              </w:rPr>
            </w:pPr>
            <w:r w:rsidRPr="00F9583A">
              <w:rPr>
                <w:sz w:val="22"/>
                <w:szCs w:val="22"/>
                <w:lang w:val="en-GB"/>
              </w:rPr>
              <w:t>- UBTVQH (để b/c);</w:t>
            </w:r>
          </w:p>
          <w:p w:rsidR="00C16CEB" w:rsidRPr="00F9583A" w:rsidRDefault="00C16CEB" w:rsidP="00CB0F1C">
            <w:pPr>
              <w:autoSpaceDE w:val="0"/>
              <w:autoSpaceDN w:val="0"/>
              <w:adjustRightInd w:val="0"/>
              <w:rPr>
                <w:sz w:val="22"/>
                <w:szCs w:val="22"/>
                <w:lang w:val="vi-VN"/>
              </w:rPr>
            </w:pPr>
            <w:r w:rsidRPr="00F9583A">
              <w:rPr>
                <w:sz w:val="22"/>
                <w:szCs w:val="22"/>
                <w:lang w:val="vi-VN"/>
              </w:rPr>
              <w:t xml:space="preserve">- </w:t>
            </w:r>
            <w:r w:rsidRPr="00F9583A">
              <w:rPr>
                <w:sz w:val="22"/>
                <w:szCs w:val="22"/>
                <w:lang w:val="en-GB"/>
              </w:rPr>
              <w:t>Các vị ĐBQH dự Hội nghị ĐBQH chuyên trách</w:t>
            </w:r>
            <w:r w:rsidRPr="00F9583A">
              <w:rPr>
                <w:sz w:val="22"/>
                <w:szCs w:val="22"/>
                <w:lang w:val="vi-VN"/>
              </w:rPr>
              <w:t>;</w:t>
            </w:r>
          </w:p>
          <w:p w:rsidR="00C16CEB" w:rsidRPr="00F9583A" w:rsidRDefault="00C16CEB" w:rsidP="00CB0F1C">
            <w:pPr>
              <w:autoSpaceDE w:val="0"/>
              <w:autoSpaceDN w:val="0"/>
              <w:adjustRightInd w:val="0"/>
              <w:rPr>
                <w:sz w:val="22"/>
                <w:szCs w:val="22"/>
                <w:lang w:val="vi-VN"/>
              </w:rPr>
            </w:pPr>
            <w:r w:rsidRPr="00F9583A">
              <w:rPr>
                <w:sz w:val="22"/>
                <w:szCs w:val="22"/>
                <w:lang w:val="vi-VN"/>
              </w:rPr>
              <w:t>- Chính phủ;</w:t>
            </w:r>
          </w:p>
          <w:p w:rsidR="00C16CEB" w:rsidRPr="00F9583A" w:rsidRDefault="00C16CEB" w:rsidP="00CB0F1C">
            <w:pPr>
              <w:autoSpaceDE w:val="0"/>
              <w:autoSpaceDN w:val="0"/>
              <w:adjustRightInd w:val="0"/>
              <w:rPr>
                <w:sz w:val="22"/>
                <w:szCs w:val="22"/>
                <w:lang w:val="vi-VN"/>
              </w:rPr>
            </w:pPr>
            <w:r w:rsidRPr="00F9583A">
              <w:rPr>
                <w:sz w:val="22"/>
                <w:szCs w:val="22"/>
                <w:lang w:val="vi-VN"/>
              </w:rPr>
              <w:t xml:space="preserve">- </w:t>
            </w:r>
            <w:r w:rsidRPr="00F9583A">
              <w:rPr>
                <w:sz w:val="22"/>
                <w:szCs w:val="22"/>
                <w:lang w:val="en-GB"/>
              </w:rPr>
              <w:t>Bộ KHĐT, Bộ Tư pháp</w:t>
            </w:r>
            <w:r w:rsidRPr="00F9583A">
              <w:rPr>
                <w:sz w:val="22"/>
                <w:szCs w:val="22"/>
                <w:lang w:val="vi-VN"/>
              </w:rPr>
              <w:t>;</w:t>
            </w:r>
          </w:p>
          <w:p w:rsidR="00C16CEB" w:rsidRPr="00F9583A" w:rsidRDefault="00C16CEB" w:rsidP="00CB0F1C">
            <w:pPr>
              <w:autoSpaceDE w:val="0"/>
              <w:autoSpaceDN w:val="0"/>
              <w:adjustRightInd w:val="0"/>
              <w:rPr>
                <w:sz w:val="22"/>
                <w:szCs w:val="22"/>
              </w:rPr>
            </w:pPr>
            <w:r w:rsidRPr="00F9583A">
              <w:rPr>
                <w:sz w:val="22"/>
                <w:szCs w:val="22"/>
              </w:rPr>
              <w:t>- TT UB TCNS;</w:t>
            </w:r>
          </w:p>
          <w:p w:rsidR="00C16CEB" w:rsidRPr="00F9583A" w:rsidRDefault="00C16CEB" w:rsidP="00CB0F1C">
            <w:pPr>
              <w:autoSpaceDE w:val="0"/>
              <w:autoSpaceDN w:val="0"/>
              <w:adjustRightInd w:val="0"/>
              <w:rPr>
                <w:sz w:val="22"/>
                <w:szCs w:val="22"/>
              </w:rPr>
            </w:pPr>
            <w:r w:rsidRPr="00F9583A">
              <w:rPr>
                <w:sz w:val="22"/>
                <w:szCs w:val="22"/>
                <w:lang w:val="pt-BR"/>
              </w:rPr>
              <w:t>- L</w:t>
            </w:r>
            <w:r w:rsidRPr="00F9583A">
              <w:rPr>
                <w:sz w:val="22"/>
                <w:szCs w:val="22"/>
                <w:lang w:val="vi-VN"/>
              </w:rPr>
              <w:t xml:space="preserve">ưu: HC, </w:t>
            </w:r>
            <w:r w:rsidRPr="00F9583A">
              <w:rPr>
                <w:sz w:val="22"/>
                <w:szCs w:val="22"/>
              </w:rPr>
              <w:t>TCNS.</w:t>
            </w:r>
          </w:p>
          <w:p w:rsidR="00C16CEB" w:rsidRPr="00F9583A" w:rsidRDefault="00C16CEB" w:rsidP="00CB0F1C">
            <w:pPr>
              <w:autoSpaceDE w:val="0"/>
              <w:autoSpaceDN w:val="0"/>
              <w:adjustRightInd w:val="0"/>
              <w:rPr>
                <w:lang w:val="pt-BR"/>
              </w:rPr>
            </w:pPr>
            <w:r w:rsidRPr="00F9583A">
              <w:rPr>
                <w:sz w:val="22"/>
                <w:szCs w:val="22"/>
                <w:lang w:val="pt-BR"/>
              </w:rPr>
              <w:t xml:space="preserve"> e-PAS: </w:t>
            </w:r>
            <w:r w:rsidR="00FE66F8" w:rsidRPr="00F9583A">
              <w:rPr>
                <w:sz w:val="22"/>
                <w:szCs w:val="22"/>
                <w:lang w:val="pt-BR"/>
              </w:rPr>
              <w:t>28796</w:t>
            </w:r>
          </w:p>
        </w:tc>
        <w:tc>
          <w:tcPr>
            <w:tcW w:w="4394" w:type="dxa"/>
            <w:tcBorders>
              <w:top w:val="nil"/>
              <w:left w:val="nil"/>
              <w:bottom w:val="nil"/>
              <w:right w:val="nil"/>
            </w:tcBorders>
            <w:shd w:val="clear" w:color="000000" w:fill="FFFFFF"/>
          </w:tcPr>
          <w:p w:rsidR="00C16CEB" w:rsidRPr="00F9583A" w:rsidRDefault="00C16CEB" w:rsidP="00CB0F1C">
            <w:pPr>
              <w:pStyle w:val="BodyTextIndent"/>
              <w:spacing w:after="0"/>
              <w:ind w:left="0"/>
              <w:jc w:val="center"/>
              <w:rPr>
                <w:b/>
                <w:lang w:val="pt-BR"/>
              </w:rPr>
            </w:pPr>
            <w:r w:rsidRPr="00F9583A">
              <w:rPr>
                <w:b/>
                <w:lang w:val="pt-BR"/>
              </w:rPr>
              <w:t xml:space="preserve">TM. THƯỜNG TRỰC </w:t>
            </w:r>
            <w:r w:rsidRPr="00F9583A">
              <w:rPr>
                <w:b/>
                <w:lang w:val="vi-VN"/>
              </w:rPr>
              <w:t xml:space="preserve">ỦY BAN </w:t>
            </w:r>
          </w:p>
          <w:p w:rsidR="00C16CEB" w:rsidRPr="00F9583A" w:rsidRDefault="00C16CEB" w:rsidP="00CB0F1C">
            <w:pPr>
              <w:pStyle w:val="BodyTextIndent"/>
              <w:spacing w:after="0"/>
              <w:ind w:left="0"/>
              <w:jc w:val="center"/>
              <w:rPr>
                <w:rFonts w:eastAsia="MS Mincho"/>
                <w:b/>
                <w:lang w:eastAsia="ja-JP"/>
              </w:rPr>
            </w:pPr>
            <w:r w:rsidRPr="00F9583A">
              <w:rPr>
                <w:b/>
                <w:lang w:val="pt-BR"/>
              </w:rPr>
              <w:t>CHỦ NHIỆM</w:t>
            </w:r>
          </w:p>
          <w:p w:rsidR="00C16CEB" w:rsidRPr="00F9583A" w:rsidRDefault="00C16CEB" w:rsidP="00CB0F1C">
            <w:pPr>
              <w:pStyle w:val="BodyTextIndent"/>
              <w:spacing w:after="0"/>
              <w:ind w:left="0"/>
              <w:jc w:val="center"/>
              <w:rPr>
                <w:rFonts w:eastAsia="MS Mincho"/>
                <w:b/>
                <w:sz w:val="30"/>
                <w:lang w:eastAsia="ja-JP"/>
              </w:rPr>
            </w:pPr>
          </w:p>
          <w:p w:rsidR="001F1EE9" w:rsidRPr="00F9583A" w:rsidRDefault="001F1EE9" w:rsidP="00CB0F1C">
            <w:pPr>
              <w:pStyle w:val="BodyTextIndent"/>
              <w:spacing w:after="0"/>
              <w:ind w:left="0"/>
              <w:jc w:val="center"/>
              <w:rPr>
                <w:rFonts w:eastAsia="MS Mincho"/>
                <w:b/>
                <w:sz w:val="38"/>
                <w:lang w:eastAsia="ja-JP"/>
              </w:rPr>
            </w:pPr>
          </w:p>
          <w:p w:rsidR="00C16CEB" w:rsidRPr="00F9583A" w:rsidRDefault="001F1EE9" w:rsidP="00CB0F1C">
            <w:pPr>
              <w:pStyle w:val="BodyTextIndent"/>
              <w:spacing w:after="0"/>
              <w:ind w:left="0"/>
              <w:jc w:val="center"/>
              <w:rPr>
                <w:noProof/>
              </w:rPr>
            </w:pPr>
            <w:r w:rsidRPr="00F9583A">
              <w:rPr>
                <w:noProof/>
              </w:rPr>
              <w:t>(Đã ký)</w:t>
            </w:r>
          </w:p>
          <w:p w:rsidR="001F1EE9" w:rsidRPr="00F9583A" w:rsidRDefault="001F1EE9" w:rsidP="00CB0F1C">
            <w:pPr>
              <w:pStyle w:val="BodyTextIndent"/>
              <w:spacing w:after="0"/>
              <w:ind w:left="0"/>
              <w:jc w:val="center"/>
              <w:rPr>
                <w:rFonts w:eastAsia="MS Mincho"/>
                <w:b/>
                <w:lang w:eastAsia="ja-JP"/>
              </w:rPr>
            </w:pPr>
          </w:p>
          <w:p w:rsidR="00C16CEB" w:rsidRPr="00F9583A" w:rsidRDefault="00C16CEB" w:rsidP="00CB0F1C">
            <w:pPr>
              <w:pStyle w:val="BodyTextIndent"/>
              <w:spacing w:after="0"/>
              <w:ind w:left="0"/>
              <w:jc w:val="center"/>
              <w:rPr>
                <w:rFonts w:eastAsia="MS Mincho"/>
                <w:b/>
                <w:lang w:eastAsia="ja-JP"/>
              </w:rPr>
            </w:pPr>
          </w:p>
          <w:p w:rsidR="00C16CEB" w:rsidRPr="00F9583A" w:rsidRDefault="00C16CEB" w:rsidP="00CB0F1C">
            <w:pPr>
              <w:pStyle w:val="BodyTextIndent"/>
              <w:spacing w:after="0"/>
              <w:ind w:left="0"/>
              <w:jc w:val="center"/>
            </w:pPr>
            <w:r w:rsidRPr="00F9583A">
              <w:rPr>
                <w:b/>
              </w:rPr>
              <w:t>Nguyễn Phú Cường</w:t>
            </w:r>
          </w:p>
        </w:tc>
      </w:tr>
      <w:bookmarkEnd w:id="0"/>
    </w:tbl>
    <w:p w:rsidR="007A42BE" w:rsidRPr="00F9583A" w:rsidRDefault="007A42BE"/>
    <w:sectPr w:rsidR="007A42BE" w:rsidRPr="00F9583A" w:rsidSect="000C4AC7">
      <w:footerReference w:type="default" r:id="rId7"/>
      <w:pgSz w:w="11907" w:h="16839"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98B" w:rsidRDefault="00EA698B" w:rsidP="00C16CEB">
      <w:r>
        <w:separator/>
      </w:r>
    </w:p>
  </w:endnote>
  <w:endnote w:type="continuationSeparator" w:id="0">
    <w:p w:rsidR="00EA698B" w:rsidRDefault="00EA698B" w:rsidP="00C1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984372"/>
      <w:docPartObj>
        <w:docPartGallery w:val="Page Numbers (Bottom of Page)"/>
        <w:docPartUnique/>
      </w:docPartObj>
    </w:sdtPr>
    <w:sdtEndPr>
      <w:rPr>
        <w:noProof/>
      </w:rPr>
    </w:sdtEndPr>
    <w:sdtContent>
      <w:p w:rsidR="000C4AC7" w:rsidRDefault="000C4AC7">
        <w:pPr>
          <w:pStyle w:val="Footer"/>
          <w:jc w:val="center"/>
        </w:pPr>
        <w:r>
          <w:fldChar w:fldCharType="begin"/>
        </w:r>
        <w:r>
          <w:instrText xml:space="preserve"> PAGE   \* MERGEFORMAT </w:instrText>
        </w:r>
        <w:r>
          <w:fldChar w:fldCharType="separate"/>
        </w:r>
        <w:r w:rsidR="00085B06">
          <w:rPr>
            <w:noProof/>
          </w:rPr>
          <w:t>5</w:t>
        </w:r>
        <w:r>
          <w:rPr>
            <w:noProof/>
          </w:rPr>
          <w:fldChar w:fldCharType="end"/>
        </w:r>
      </w:p>
    </w:sdtContent>
  </w:sdt>
  <w:p w:rsidR="000C4AC7" w:rsidRDefault="000C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98B" w:rsidRDefault="00EA698B" w:rsidP="00C16CEB">
      <w:r>
        <w:separator/>
      </w:r>
    </w:p>
  </w:footnote>
  <w:footnote w:type="continuationSeparator" w:id="0">
    <w:p w:rsidR="00EA698B" w:rsidRDefault="00EA698B" w:rsidP="00C16CEB">
      <w:r>
        <w:continuationSeparator/>
      </w:r>
    </w:p>
  </w:footnote>
  <w:footnote w:id="1">
    <w:p w:rsidR="00C16CEB" w:rsidRPr="007A1C94" w:rsidRDefault="00C16CEB" w:rsidP="00C16CEB">
      <w:pPr>
        <w:pStyle w:val="FootnoteText"/>
        <w:jc w:val="both"/>
        <w:rPr>
          <w:rFonts w:ascii="Times New Roman" w:hAnsi="Times New Roman"/>
          <w:lang w:val="en-GB"/>
        </w:rPr>
      </w:pPr>
      <w:r w:rsidRPr="00DB2948">
        <w:rPr>
          <w:rStyle w:val="FootnoteReference"/>
          <w:rFonts w:ascii="Times New Roman" w:hAnsi="Times New Roman"/>
          <w:spacing w:val="-2"/>
        </w:rPr>
        <w:footnoteRef/>
      </w:r>
      <w:r w:rsidRPr="00DB2948">
        <w:rPr>
          <w:rFonts w:ascii="Times New Roman" w:hAnsi="Times New Roman"/>
          <w:spacing w:val="-2"/>
        </w:rPr>
        <w:t xml:space="preserve"> Phối hợp với </w:t>
      </w:r>
      <w:r w:rsidRPr="00DB2948">
        <w:rPr>
          <w:rFonts w:ascii="Times New Roman" w:hAnsi="Times New Roman"/>
          <w:spacing w:val="-2"/>
          <w:lang w:val="en-GB"/>
        </w:rPr>
        <w:t xml:space="preserve">Bộ </w:t>
      </w:r>
      <w:r>
        <w:rPr>
          <w:rFonts w:ascii="Times New Roman" w:hAnsi="Times New Roman"/>
          <w:spacing w:val="-2"/>
          <w:lang w:val="en-GB"/>
        </w:rPr>
        <w:t>Kế hoạch và Đầu tư tổ chức làm việc với Bộ Y tế, Bộ Tài chính, Bộ Tư pháp, một số bệnh viện lớn, một số tập đoàn, tổng công ty…</w:t>
      </w:r>
    </w:p>
  </w:footnote>
  <w:footnote w:id="2">
    <w:p w:rsidR="006F5B03" w:rsidRDefault="00170852" w:rsidP="00170852">
      <w:pPr>
        <w:pStyle w:val="FootnoteText"/>
        <w:jc w:val="both"/>
        <w:rPr>
          <w:rFonts w:ascii="Times New Roman" w:hAnsi="Times New Roman"/>
        </w:rPr>
      </w:pPr>
      <w:r>
        <w:rPr>
          <w:rStyle w:val="FootnoteReference"/>
        </w:rPr>
        <w:footnoteRef/>
      </w:r>
      <w:r>
        <w:t xml:space="preserve"> </w:t>
      </w:r>
      <w:r w:rsidRPr="000C4AC7">
        <w:rPr>
          <w:rFonts w:ascii="Times New Roman" w:hAnsi="Times New Roman"/>
        </w:rPr>
        <w:t xml:space="preserve">Điểm </w:t>
      </w:r>
      <w:r w:rsidR="006F5B03">
        <w:rPr>
          <w:rFonts w:ascii="Times New Roman" w:hAnsi="Times New Roman"/>
        </w:rPr>
        <w:t xml:space="preserve">b, </w:t>
      </w:r>
      <w:r w:rsidRPr="000C4AC7">
        <w:rPr>
          <w:rFonts w:ascii="Times New Roman" w:hAnsi="Times New Roman"/>
        </w:rPr>
        <w:t xml:space="preserve">c khoản 1 Điều 1 của Luật Đấu thầu năm 2013: </w:t>
      </w:r>
    </w:p>
    <w:p w:rsidR="006F5B03" w:rsidRPr="006F5B03" w:rsidRDefault="00170852" w:rsidP="00170852">
      <w:pPr>
        <w:pStyle w:val="FootnoteText"/>
        <w:jc w:val="both"/>
        <w:rPr>
          <w:rFonts w:ascii="Times New Roman" w:hAnsi="Times New Roman"/>
          <w:i/>
        </w:rPr>
      </w:pPr>
      <w:r w:rsidRPr="006F5B03">
        <w:rPr>
          <w:rFonts w:ascii="Times New Roman" w:hAnsi="Times New Roman"/>
          <w:i/>
        </w:rPr>
        <w:t>“</w:t>
      </w:r>
      <w:r w:rsidR="006F5B03" w:rsidRPr="006F5B03">
        <w:rPr>
          <w:rFonts w:ascii="Times New Roman" w:hAnsi="Times New Roman"/>
          <w:i/>
        </w:rPr>
        <w:t xml:space="preserve"> b) Dự án đầu tư phát triển của doanh nghiệp nhà nước;</w:t>
      </w:r>
    </w:p>
    <w:p w:rsidR="00170852" w:rsidRPr="000C4AC7" w:rsidRDefault="00170852" w:rsidP="00170852">
      <w:pPr>
        <w:pStyle w:val="FootnoteText"/>
        <w:jc w:val="both"/>
        <w:rPr>
          <w:rFonts w:ascii="Times New Roman" w:hAnsi="Times New Roman"/>
        </w:rPr>
      </w:pPr>
      <w:r w:rsidRPr="000C4AC7">
        <w:rPr>
          <w:rFonts w:ascii="Times New Roman" w:hAnsi="Times New Roman"/>
          <w:i/>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r w:rsidRPr="000C4AC7">
        <w:rPr>
          <w:rFonts w:ascii="Times New Roman" w:hAnsi="Times New Roman"/>
        </w:rPr>
        <w:t>”;</w:t>
      </w:r>
    </w:p>
  </w:footnote>
  <w:footnote w:id="3">
    <w:p w:rsidR="000C4AC7" w:rsidRPr="007F7CF4" w:rsidRDefault="000C4AC7" w:rsidP="000C4AC7">
      <w:pPr>
        <w:widowControl w:val="0"/>
        <w:jc w:val="both"/>
        <w:rPr>
          <w:bCs/>
          <w:iCs/>
          <w:sz w:val="20"/>
          <w:szCs w:val="20"/>
        </w:rPr>
      </w:pPr>
      <w:r>
        <w:rPr>
          <w:rStyle w:val="FootnoteReference"/>
        </w:rPr>
        <w:footnoteRef/>
      </w:r>
      <w:r>
        <w:t xml:space="preserve"> </w:t>
      </w:r>
      <w:r w:rsidRPr="007F7CF4">
        <w:rPr>
          <w:bCs/>
          <w:iCs/>
          <w:sz w:val="20"/>
          <w:szCs w:val="20"/>
        </w:rPr>
        <w:t>Phương án 1: 2. Hoạt động lựa chọn nhà thầu để thực hiện:</w:t>
      </w:r>
    </w:p>
    <w:p w:rsidR="000C4AC7" w:rsidRPr="007F7CF4" w:rsidRDefault="000C4AC7" w:rsidP="002842D9">
      <w:pPr>
        <w:widowControl w:val="0"/>
        <w:ind w:firstLine="720"/>
        <w:jc w:val="both"/>
        <w:rPr>
          <w:b/>
        </w:rPr>
      </w:pPr>
      <w:r w:rsidRPr="007F7CF4">
        <w:rPr>
          <w:bCs/>
          <w:iCs/>
          <w:sz w:val="20"/>
          <w:szCs w:val="20"/>
        </w:rPr>
        <w:t>a) Các gói thầu thuộc dự án đầu tư của doanh nghiệp nhà nước theo quy định của Luật Doanh nghiệp;</w:t>
      </w:r>
    </w:p>
  </w:footnote>
  <w:footnote w:id="4">
    <w:p w:rsidR="001074C2" w:rsidRPr="001074C2" w:rsidRDefault="001074C2" w:rsidP="001074C2">
      <w:pPr>
        <w:widowControl w:val="0"/>
        <w:jc w:val="both"/>
        <w:rPr>
          <w:bCs/>
          <w:iCs/>
          <w:sz w:val="20"/>
          <w:szCs w:val="20"/>
        </w:rPr>
      </w:pPr>
      <w:r w:rsidRPr="001074C2">
        <w:rPr>
          <w:bCs/>
          <w:iCs/>
          <w:sz w:val="20"/>
          <w:szCs w:val="20"/>
          <w:vertAlign w:val="superscript"/>
        </w:rPr>
        <w:footnoteRef/>
      </w:r>
      <w:r w:rsidRPr="001074C2">
        <w:rPr>
          <w:bCs/>
          <w:iCs/>
          <w:sz w:val="20"/>
          <w:szCs w:val="20"/>
        </w:rPr>
        <w:t xml:space="preserve"> Theo báo cáo của tập đoàn EVN, năm 2022, tập đoàn EVN tổ chức đấu thầu </w:t>
      </w:r>
      <w:r w:rsidRPr="001074C2">
        <w:rPr>
          <w:b/>
          <w:bCs/>
          <w:iCs/>
          <w:sz w:val="20"/>
          <w:szCs w:val="20"/>
        </w:rPr>
        <w:t>9.516 gói thầu</w:t>
      </w:r>
      <w:r w:rsidRPr="001074C2">
        <w:rPr>
          <w:bCs/>
          <w:iCs/>
          <w:sz w:val="20"/>
          <w:szCs w:val="20"/>
        </w:rPr>
        <w:t xml:space="preserve">, với tổng giá trị trúng thầu là </w:t>
      </w:r>
      <w:r w:rsidRPr="001074C2">
        <w:rPr>
          <w:b/>
          <w:bCs/>
          <w:iCs/>
          <w:sz w:val="20"/>
          <w:szCs w:val="20"/>
        </w:rPr>
        <w:t>43.151 tỷ đồng</w:t>
      </w:r>
      <w:r w:rsidRPr="001074C2">
        <w:rPr>
          <w:bCs/>
          <w:iCs/>
          <w:sz w:val="20"/>
          <w:szCs w:val="20"/>
        </w:rPr>
        <w:t xml:space="preserve">, tỷ lệ tiết kiệm đạt khoảng 8%, trong đó công ty mẹ triển khai </w:t>
      </w:r>
      <w:r w:rsidRPr="001074C2">
        <w:rPr>
          <w:b/>
          <w:bCs/>
          <w:iCs/>
          <w:sz w:val="20"/>
          <w:szCs w:val="20"/>
        </w:rPr>
        <w:t xml:space="preserve">239 </w:t>
      </w:r>
      <w:r w:rsidRPr="001074C2">
        <w:rPr>
          <w:bCs/>
          <w:iCs/>
          <w:sz w:val="20"/>
          <w:szCs w:val="20"/>
        </w:rPr>
        <w:t xml:space="preserve">gói thầu với tổng giá các gói thầu là </w:t>
      </w:r>
      <w:r w:rsidRPr="001074C2">
        <w:rPr>
          <w:b/>
          <w:bCs/>
          <w:iCs/>
          <w:sz w:val="20"/>
          <w:szCs w:val="20"/>
        </w:rPr>
        <w:t>4.591</w:t>
      </w:r>
      <w:r w:rsidRPr="001074C2">
        <w:rPr>
          <w:bCs/>
          <w:iCs/>
          <w:sz w:val="20"/>
          <w:szCs w:val="20"/>
        </w:rPr>
        <w:t xml:space="preserve"> tỷ đồng.</w:t>
      </w:r>
    </w:p>
  </w:footnote>
  <w:footnote w:id="5">
    <w:p w:rsidR="00170852" w:rsidRPr="00E67727" w:rsidRDefault="00170852" w:rsidP="00170852">
      <w:pPr>
        <w:widowControl w:val="0"/>
        <w:jc w:val="both"/>
        <w:rPr>
          <w:bCs/>
          <w:iCs/>
          <w:sz w:val="20"/>
          <w:szCs w:val="20"/>
        </w:rPr>
      </w:pPr>
      <w:r w:rsidRPr="00E67727">
        <w:rPr>
          <w:rStyle w:val="FootnoteReference"/>
        </w:rPr>
        <w:footnoteRef/>
      </w:r>
      <w:r w:rsidRPr="00E67727">
        <w:t xml:space="preserve"> </w:t>
      </w:r>
      <w:r w:rsidRPr="00E67727">
        <w:rPr>
          <w:bCs/>
          <w:iCs/>
          <w:sz w:val="20"/>
          <w:szCs w:val="20"/>
        </w:rPr>
        <w:t>Phương án 2: 2. Hoạt động lựa chọn nhà thầu để thực hiện:</w:t>
      </w:r>
    </w:p>
    <w:p w:rsidR="00170852" w:rsidRPr="00E67727" w:rsidRDefault="00170852" w:rsidP="00170852">
      <w:pPr>
        <w:widowControl w:val="0"/>
        <w:ind w:firstLine="720"/>
        <w:jc w:val="both"/>
        <w:rPr>
          <w:bCs/>
          <w:iCs/>
          <w:sz w:val="20"/>
          <w:szCs w:val="20"/>
        </w:rPr>
      </w:pPr>
      <w:r w:rsidRPr="00E67727">
        <w:rPr>
          <w:bCs/>
          <w:iCs/>
          <w:sz w:val="20"/>
          <w:szCs w:val="20"/>
        </w:rPr>
        <w:t xml:space="preserve">a) Các gói thầu thuộc dự án đầu tư của doanh nghiệp nhà nước theo quy định của Luật Doanh nghiệp và doanh nghiệp có vốn của doanh nghiệp nhà nước trên 50% vốn điều lệ; </w:t>
      </w:r>
    </w:p>
    <w:p w:rsidR="00170852" w:rsidRPr="00E67727" w:rsidRDefault="00170852" w:rsidP="00170852">
      <w:pPr>
        <w:pStyle w:val="FootnoteText"/>
        <w:rPr>
          <w:rFonts w:ascii="Times New Roman" w:hAnsi="Times New Roman"/>
        </w:rPr>
      </w:pPr>
    </w:p>
  </w:footnote>
  <w:footnote w:id="6">
    <w:p w:rsidR="006F5B03" w:rsidRPr="006F5B03" w:rsidRDefault="006F5B03" w:rsidP="006F5B03">
      <w:pPr>
        <w:pStyle w:val="FootnoteText"/>
        <w:jc w:val="both"/>
        <w:rPr>
          <w:rFonts w:ascii="Times New Roman" w:hAnsi="Times New Roman"/>
        </w:rPr>
      </w:pPr>
      <w:r w:rsidRPr="006F5B03">
        <w:rPr>
          <w:rStyle w:val="FootnoteReference"/>
          <w:rFonts w:ascii="Times New Roman" w:hAnsi="Times New Roman"/>
        </w:rPr>
        <w:footnoteRef/>
      </w:r>
      <w:r w:rsidRPr="006F5B03">
        <w:rPr>
          <w:rFonts w:ascii="Times New Roman" w:hAnsi="Times New Roman"/>
        </w:rPr>
        <w:t xml:space="preserve"> Điểm m khoản 1 Điều 23: </w:t>
      </w:r>
      <w:r>
        <w:rPr>
          <w:rFonts w:ascii="Times New Roman" w:hAnsi="Times New Roman"/>
        </w:rPr>
        <w:t>“</w:t>
      </w:r>
      <w:r w:rsidRPr="006F5B03">
        <w:rPr>
          <w:rFonts w:ascii="Times New Roman" w:hAnsi="Times New Roman"/>
        </w:rPr>
        <w:t xml:space="preserve">m) </w:t>
      </w:r>
      <w:r w:rsidRPr="006F5B03">
        <w:rPr>
          <w:rFonts w:ascii="Times New Roman" w:hAnsi="Times New Roman"/>
          <w:lang w:val="vi-VN"/>
        </w:rPr>
        <w:t>Gói thầu</w:t>
      </w:r>
      <w:r w:rsidRPr="006F5B03">
        <w:rPr>
          <w:rFonts w:ascii="Times New Roman" w:hAnsi="Times New Roman"/>
        </w:rPr>
        <w:t xml:space="preserve"> cung cấp dịch vụ </w:t>
      </w:r>
      <w:r w:rsidRPr="006F5B03">
        <w:rPr>
          <w:rFonts w:ascii="Times New Roman" w:hAnsi="Times New Roman"/>
          <w:lang w:val="vi-VN"/>
        </w:rPr>
        <w:t xml:space="preserve">tư vấn </w:t>
      </w:r>
      <w:r w:rsidRPr="006F5B03">
        <w:rPr>
          <w:rFonts w:ascii="Times New Roman" w:hAnsi="Times New Roman"/>
        </w:rPr>
        <w:t xml:space="preserve">thuộc dự án đầu tư </w:t>
      </w:r>
      <w:r w:rsidRPr="006F5B03">
        <w:rPr>
          <w:rFonts w:ascii="Times New Roman" w:hAnsi="Times New Roman"/>
          <w:lang w:val="vi-VN"/>
        </w:rPr>
        <w:t xml:space="preserve">có giá gói thầu </w:t>
      </w:r>
      <w:r w:rsidRPr="006F5B03">
        <w:rPr>
          <w:rFonts w:ascii="Times New Roman" w:hAnsi="Times New Roman"/>
        </w:rPr>
        <w:t>trong hạn mức không quá</w:t>
      </w:r>
      <w:r w:rsidRPr="006F5B03">
        <w:rPr>
          <w:rFonts w:ascii="Times New Roman" w:hAnsi="Times New Roman"/>
          <w:lang w:val="vi-VN"/>
        </w:rPr>
        <w:t xml:space="preserve"> 500 triệu đồng</w:t>
      </w:r>
      <w:r w:rsidRPr="006F5B03">
        <w:rPr>
          <w:rFonts w:ascii="Times New Roman" w:hAnsi="Times New Roman"/>
        </w:rPr>
        <w:t>; gói thầu phi tư vấn, hàng hóa, xây lắp, hỗn hợp thuộc dự án đầu tư có giá gói thầu trong hạn mức không quá 01 tỷ đồng; gói thầu thuộc dự toán mua sắm có giá gói thầu k</w:t>
      </w:r>
      <w:r w:rsidRPr="006F5B03">
        <w:rPr>
          <w:rFonts w:ascii="Times New Roman" w:hAnsi="Times New Roman"/>
          <w:lang w:val="vi-VN"/>
        </w:rPr>
        <w:t>hông quá 100 triệu đồng</w:t>
      </w:r>
      <w:r w:rsidRPr="006F5B03">
        <w:rPr>
          <w:rFonts w:ascii="Times New Roman" w:hAnsi="Times New Roman"/>
        </w:rPr>
        <w:t>;</w:t>
      </w:r>
      <w:r>
        <w:rPr>
          <w:rFonts w:ascii="Times New Roman" w:hAnsi="Times New Roman"/>
        </w:rPr>
        <w:t>”.</w:t>
      </w:r>
    </w:p>
  </w:footnote>
  <w:footnote w:id="7">
    <w:p w:rsidR="001720A0" w:rsidRDefault="001720A0" w:rsidP="001720A0">
      <w:pPr>
        <w:widowControl w:val="0"/>
        <w:tabs>
          <w:tab w:val="left" w:pos="851"/>
        </w:tabs>
        <w:jc w:val="both"/>
      </w:pPr>
      <w:r w:rsidRPr="00FA6D78">
        <w:rPr>
          <w:rStyle w:val="FootnoteReference"/>
          <w:sz w:val="20"/>
          <w:szCs w:val="20"/>
        </w:rPr>
        <w:footnoteRef/>
      </w:r>
      <w:r w:rsidRPr="00FA6D78">
        <w:rPr>
          <w:sz w:val="20"/>
          <w:szCs w:val="20"/>
        </w:rPr>
        <w:t xml:space="preserve"> </w:t>
      </w:r>
      <w:r>
        <w:rPr>
          <w:color w:val="000000"/>
          <w:sz w:val="20"/>
          <w:szCs w:val="20"/>
        </w:rPr>
        <w:t xml:space="preserve">Các trường hợp đã được </w:t>
      </w:r>
      <w:r w:rsidR="006248D9">
        <w:rPr>
          <w:color w:val="000000"/>
          <w:sz w:val="20"/>
          <w:szCs w:val="20"/>
        </w:rPr>
        <w:t>luật</w:t>
      </w:r>
      <w:r>
        <w:rPr>
          <w:color w:val="000000"/>
          <w:sz w:val="20"/>
          <w:szCs w:val="20"/>
        </w:rPr>
        <w:t xml:space="preserve"> hóa từ Quyết định số 1</w:t>
      </w:r>
      <w:r w:rsidRPr="001720A0">
        <w:rPr>
          <w:color w:val="000000"/>
          <w:sz w:val="20"/>
          <w:szCs w:val="20"/>
        </w:rPr>
        <w:t>7/2019/QĐ-TTg ngày 08/4/2019 của Thủ tướng Chính phủ về một số gói thầu, nội dung mua sắm duy trì hoạt động thường xuyên được áp dụng hình thức lựa chọn nhà thầu trong trường hợp đặc biệt theo quy định tại Điều 26 của Luật Đấu thầu</w:t>
      </w:r>
      <w:r>
        <w:rPr>
          <w:color w:val="000000"/>
          <w:sz w:val="20"/>
          <w:szCs w:val="20"/>
        </w:rPr>
        <w:t xml:space="preserve">: </w:t>
      </w:r>
      <w:r w:rsidRPr="00FA6D78">
        <w:rPr>
          <w:color w:val="000000"/>
          <w:sz w:val="20"/>
          <w:szCs w:val="20"/>
        </w:rPr>
        <w:t xml:space="preserve"> Gói thầu mang tính nghiệp vụ, hạn chế về nhà thầu cung cấp hoặc có tiến độ cần thực hiện gấp, thuộc dự toán mua sắm của các cơ quan nhà nước, đơn vị sự nghiệp công lập;</w:t>
      </w:r>
      <w:r w:rsidRPr="00FA6D78">
        <w:rPr>
          <w:b/>
          <w:color w:val="000000"/>
          <w:sz w:val="20"/>
          <w:szCs w:val="20"/>
        </w:rPr>
        <w:t xml:space="preserve"> </w:t>
      </w:r>
      <w:r w:rsidRPr="00FA6D78">
        <w:rPr>
          <w:color w:val="000000"/>
          <w:sz w:val="20"/>
          <w:szCs w:val="20"/>
        </w:rPr>
        <w:t>Gói thầu có yêu cầu bảo đảm quốc phòng, an ninh, biên giới lãnh thổ;</w:t>
      </w:r>
      <w:r w:rsidRPr="00FA6D78">
        <w:rPr>
          <w:color w:val="000000"/>
          <w:sz w:val="20"/>
          <w:szCs w:val="20"/>
          <w:lang w:val="vi-VN"/>
        </w:rPr>
        <w:t xml:space="preserve"> Lựa chọn luật sư cung cấp dịch vụ pháp lý để bảo vệ quyền và lợi ích cho Chính phủ hoặc cơ quan nhà nước Việt Nam tại cơ quan tài phán nước ngoài hoặc quốc tế khi Việt Nam là bị đơn trong các vụ kiện quốc tế</w:t>
      </w:r>
      <w:r w:rsidRPr="00FA6D78">
        <w:rPr>
          <w:color w:val="000000"/>
          <w:sz w:val="20"/>
          <w:szCs w:val="20"/>
        </w:rPr>
        <w:t xml:space="preserve">; Các gói thầu thực hiện </w:t>
      </w:r>
      <w:r w:rsidRPr="00FA6D78">
        <w:rPr>
          <w:color w:val="000000"/>
          <w:sz w:val="20"/>
          <w:szCs w:val="20"/>
          <w:lang w:val="vi-VN"/>
        </w:rPr>
        <w:t>nhiệm vụ chính trị do Đảng và Nhà nước giao</w:t>
      </w:r>
      <w:r>
        <w:rPr>
          <w:color w:val="000000"/>
          <w:sz w:val="20"/>
          <w:szCs w:val="20"/>
        </w:rPr>
        <w:t>…</w:t>
      </w:r>
    </w:p>
  </w:footnote>
  <w:footnote w:id="8">
    <w:p w:rsidR="002842D9" w:rsidRPr="002842D9" w:rsidRDefault="002842D9" w:rsidP="002842D9">
      <w:pPr>
        <w:tabs>
          <w:tab w:val="left" w:pos="5725"/>
        </w:tabs>
        <w:ind w:firstLine="567"/>
        <w:jc w:val="both"/>
        <w:rPr>
          <w:sz w:val="20"/>
          <w:szCs w:val="20"/>
        </w:rPr>
      </w:pPr>
      <w:r w:rsidRPr="002842D9">
        <w:rPr>
          <w:rStyle w:val="FootnoteReference"/>
          <w:sz w:val="20"/>
          <w:szCs w:val="20"/>
        </w:rPr>
        <w:footnoteRef/>
      </w:r>
      <w:r w:rsidRPr="002842D9">
        <w:rPr>
          <w:sz w:val="20"/>
          <w:szCs w:val="20"/>
        </w:rPr>
        <w:t xml:space="preserve"> </w:t>
      </w:r>
      <w:r w:rsidRPr="002842D9">
        <w:rPr>
          <w:iCs/>
          <w:sz w:val="20"/>
          <w:szCs w:val="20"/>
          <w:lang w:val="en-GB"/>
        </w:rPr>
        <w:t>Xin gửi kèm theo: (1) Dự thảo Báo cáo của Ủy ban Thường vụ Quốc hội giải trình, tiếp thu, chỉnh lý dự thảo Luật Đấu thầu (sửa đổi); (2) Dự thảo Luật Đấu thầu (sửa đổi) đã được tiếp thu, chỉnh lý; (3) Bảng so sánh dự thảo Luật Đấu thầu (sửa đổi) đã được tiếp thu, chỉnh lý và dự thảo Luật trình Quốc hội tại kỳ họp thứ 3; (4) Thông báo Kết luận số 2099/TB-TTKQH ngày 21/3/2023 của Tổng Thư ký Quốc hội về Kết luận của Ủy ban Thường vụ Quốc hội về việc giải trình, tiếp thu, chỉnh lý dự thảo Luật Đấu thầu (sửa đổi); (5) Báo cáo tổng hợp ý kiến của các vị đại biểu Quốc hội thảo luận tại Tổ và Hội trường về dự án Luật Đấu thầu (sửa đổi).</w:t>
      </w:r>
      <w:r w:rsidRPr="002842D9">
        <w:rPr>
          <w:rFonts w:ascii="Times New Roman Italic" w:hAnsi="Times New Roman Italic"/>
          <w:iCs/>
          <w:sz w:val="20"/>
          <w:szCs w:val="20"/>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EB"/>
    <w:rsid w:val="00085B06"/>
    <w:rsid w:val="000C4AC7"/>
    <w:rsid w:val="001074C2"/>
    <w:rsid w:val="00116C16"/>
    <w:rsid w:val="00170852"/>
    <w:rsid w:val="001720A0"/>
    <w:rsid w:val="001F1EE9"/>
    <w:rsid w:val="0022186E"/>
    <w:rsid w:val="0026609E"/>
    <w:rsid w:val="00283359"/>
    <w:rsid w:val="002842D9"/>
    <w:rsid w:val="002B4F53"/>
    <w:rsid w:val="00303026"/>
    <w:rsid w:val="003D3A66"/>
    <w:rsid w:val="004003A2"/>
    <w:rsid w:val="004775D3"/>
    <w:rsid w:val="004A63FD"/>
    <w:rsid w:val="005A297E"/>
    <w:rsid w:val="006248D9"/>
    <w:rsid w:val="006F5B03"/>
    <w:rsid w:val="007A42BE"/>
    <w:rsid w:val="008A4F30"/>
    <w:rsid w:val="00B92172"/>
    <w:rsid w:val="00C04B79"/>
    <w:rsid w:val="00C16CEB"/>
    <w:rsid w:val="00C47F56"/>
    <w:rsid w:val="00CA44AD"/>
    <w:rsid w:val="00CE6A8A"/>
    <w:rsid w:val="00D7750F"/>
    <w:rsid w:val="00DC1B86"/>
    <w:rsid w:val="00DC2F74"/>
    <w:rsid w:val="00E67727"/>
    <w:rsid w:val="00EA698B"/>
    <w:rsid w:val="00F9583A"/>
    <w:rsid w:val="00FA6D78"/>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57E9-B3AD-4139-9804-978D683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CEB"/>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C16CEB"/>
    <w:pPr>
      <w:keepNext/>
      <w:spacing w:after="160" w:line="259" w:lineRule="auto"/>
      <w:outlineLvl w:val="2"/>
    </w:pPr>
    <w:rPr>
      <w:rFonts w:ascii="Times New Roman Bold" w:hAnsi="Times New Roman Bold"/>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6CEB"/>
    <w:rPr>
      <w:rFonts w:ascii="Times New Roman Bold" w:eastAsia="Times New Roman" w:hAnsi="Times New Roman Bold" w:cs="Times New Roman"/>
      <w:b/>
      <w:bCs/>
      <w:i/>
      <w:sz w:val="20"/>
      <w:szCs w:val="26"/>
    </w:rPr>
  </w:style>
  <w:style w:type="paragraph" w:styleId="BodyText">
    <w:name w:val="Body Text"/>
    <w:aliases w:val="Body Text Char Char Char Char Char Char,Body Text Char Char Char Char Char,Body Text Char Char Char,1tenchuong,Body Text Char Char,bt"/>
    <w:basedOn w:val="Normal"/>
    <w:link w:val="BodyTextChar"/>
    <w:rsid w:val="00C16CEB"/>
    <w:pPr>
      <w:spacing w:line="360" w:lineRule="exact"/>
      <w:jc w:val="both"/>
    </w:pPr>
    <w:rPr>
      <w:bC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C16CEB"/>
    <w:rPr>
      <w:rFonts w:ascii="Times New Roman" w:eastAsia="Times New Roman" w:hAnsi="Times New Roman" w:cs="Times New Roman"/>
      <w:bCs/>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C16CEB"/>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C16CEB"/>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C16CE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C16CEB"/>
    <w:pPr>
      <w:spacing w:after="160" w:line="240" w:lineRule="exact"/>
    </w:pPr>
    <w:rPr>
      <w:rFonts w:asciiTheme="minorHAnsi" w:eastAsia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C16CEB"/>
    <w:pPr>
      <w:spacing w:after="120"/>
      <w:ind w:left="283"/>
    </w:pPr>
  </w:style>
  <w:style w:type="character" w:customStyle="1" w:styleId="BodyTextIndentChar">
    <w:name w:val="Body Text Indent Char"/>
    <w:basedOn w:val="DefaultParagraphFont"/>
    <w:link w:val="BodyTextIndent"/>
    <w:uiPriority w:val="99"/>
    <w:semiHidden/>
    <w:rsid w:val="00C16CEB"/>
    <w:rPr>
      <w:rFonts w:ascii="Times New Roman" w:eastAsia="Times New Roman" w:hAnsi="Times New Roman" w:cs="Times New Roman"/>
      <w:sz w:val="28"/>
      <w:szCs w:val="28"/>
    </w:rPr>
  </w:style>
  <w:style w:type="paragraph" w:customStyle="1" w:styleId="Normal1">
    <w:name w:val="Normal1"/>
    <w:basedOn w:val="Normal"/>
    <w:rsid w:val="00C16CEB"/>
    <w:pPr>
      <w:spacing w:before="100" w:beforeAutospacing="1" w:after="100" w:afterAutospacing="1"/>
    </w:pPr>
    <w:rPr>
      <w:sz w:val="24"/>
      <w:szCs w:val="24"/>
    </w:rPr>
  </w:style>
  <w:style w:type="paragraph" w:customStyle="1" w:styleId="Body">
    <w:name w:val="Body"/>
    <w:basedOn w:val="Normal"/>
    <w:autoRedefine/>
    <w:qFormat/>
    <w:rsid w:val="00C16CEB"/>
    <w:pPr>
      <w:widowControl w:val="0"/>
      <w:spacing w:before="60" w:after="40" w:line="360" w:lineRule="exact"/>
      <w:jc w:val="both"/>
    </w:pPr>
    <w:rPr>
      <w:rFonts w:eastAsia="Arial"/>
      <w:spacing w:val="-2"/>
      <w:lang w:val="it-IT" w:eastAsia="en-ZW"/>
    </w:rPr>
  </w:style>
  <w:style w:type="character" w:customStyle="1" w:styleId="normalchar">
    <w:name w:val="normal__char"/>
    <w:rsid w:val="00C16CEB"/>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170852"/>
    <w:pPr>
      <w:spacing w:after="160" w:line="240" w:lineRule="exact"/>
    </w:pPr>
    <w:rPr>
      <w:rFonts w:asciiTheme="minorHAnsi" w:eastAsiaTheme="minorHAnsi" w:hAnsiTheme="minorHAnsi" w:cstheme="minorBidi"/>
      <w:sz w:val="22"/>
      <w:szCs w:val="22"/>
      <w:vertAlign w:val="superscript"/>
    </w:rPr>
  </w:style>
  <w:style w:type="paragraph" w:customStyle="1" w:styleId="FootnotetextChar1">
    <w:name w:val="Footnote text Char1"/>
    <w:basedOn w:val="Normal"/>
    <w:uiPriority w:val="99"/>
    <w:rsid w:val="000C4AC7"/>
    <w:pPr>
      <w:spacing w:after="160" w:line="240" w:lineRule="exact"/>
    </w:pPr>
    <w:rPr>
      <w:sz w:val="20"/>
      <w:szCs w:val="20"/>
      <w:vertAlign w:val="superscript"/>
      <w:lang w:val="vi-VN" w:eastAsia="vi-VN"/>
    </w:rPr>
  </w:style>
  <w:style w:type="paragraph" w:styleId="Header">
    <w:name w:val="header"/>
    <w:basedOn w:val="Normal"/>
    <w:link w:val="HeaderChar"/>
    <w:uiPriority w:val="99"/>
    <w:unhideWhenUsed/>
    <w:rsid w:val="000C4AC7"/>
    <w:pPr>
      <w:tabs>
        <w:tab w:val="center" w:pos="4680"/>
        <w:tab w:val="right" w:pos="9360"/>
      </w:tabs>
    </w:pPr>
  </w:style>
  <w:style w:type="character" w:customStyle="1" w:styleId="HeaderChar">
    <w:name w:val="Header Char"/>
    <w:basedOn w:val="DefaultParagraphFont"/>
    <w:link w:val="Header"/>
    <w:uiPriority w:val="99"/>
    <w:rsid w:val="000C4AC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C4AC7"/>
    <w:pPr>
      <w:tabs>
        <w:tab w:val="center" w:pos="4680"/>
        <w:tab w:val="right" w:pos="9360"/>
      </w:tabs>
    </w:pPr>
  </w:style>
  <w:style w:type="character" w:customStyle="1" w:styleId="FooterChar">
    <w:name w:val="Footer Char"/>
    <w:basedOn w:val="DefaultParagraphFont"/>
    <w:link w:val="Footer"/>
    <w:uiPriority w:val="99"/>
    <w:rsid w:val="000C4AC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84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D9"/>
    <w:rPr>
      <w:rFonts w:ascii="Segoe UI" w:eastAsia="Times New Roman" w:hAnsi="Segoe UI" w:cs="Segoe UI"/>
      <w:sz w:val="18"/>
      <w:szCs w:val="18"/>
    </w:rPr>
  </w:style>
  <w:style w:type="paragraph" w:customStyle="1" w:styleId="CharCharCharCharCharCharChar">
    <w:name w:val="Char Char Char Char Char Char Char"/>
    <w:basedOn w:val="Normal"/>
    <w:rsid w:val="001F1EE9"/>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D73C4-543F-4548-BCEC-6A001DBCAF66}">
  <ds:schemaRefs>
    <ds:schemaRef ds:uri="http://schemas.openxmlformats.org/officeDocument/2006/bibliography"/>
  </ds:schemaRefs>
</ds:datastoreItem>
</file>

<file path=customXml/itemProps2.xml><?xml version="1.0" encoding="utf-8"?>
<ds:datastoreItem xmlns:ds="http://schemas.openxmlformats.org/officeDocument/2006/customXml" ds:itemID="{E564ACDF-BFA6-426D-9F05-071C50266154}"/>
</file>

<file path=customXml/itemProps3.xml><?xml version="1.0" encoding="utf-8"?>
<ds:datastoreItem xmlns:ds="http://schemas.openxmlformats.org/officeDocument/2006/customXml" ds:itemID="{4C5EF27B-5681-4776-B6D8-DE73B5B0D12B}"/>
</file>

<file path=customXml/itemProps4.xml><?xml version="1.0" encoding="utf-8"?>
<ds:datastoreItem xmlns:ds="http://schemas.openxmlformats.org/officeDocument/2006/customXml" ds:itemID="{86239A2C-6450-4080-9664-86197CF0A06B}"/>
</file>

<file path=docProps/app.xml><?xml version="1.0" encoding="utf-8"?>
<Properties xmlns="http://schemas.openxmlformats.org/officeDocument/2006/extended-properties" xmlns:vt="http://schemas.openxmlformats.org/officeDocument/2006/docPropsVTypes">
  <Template>Normal</Template>
  <TotalTime>37</TotalTime>
  <Pages>5</Pages>
  <Words>1398</Words>
  <Characters>7971</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7. Về bảo đảm cạnh tranh trong đấu thầu</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Nhat Tan</dc:creator>
  <cp:keywords/>
  <dc:description/>
  <cp:lastModifiedBy>Nguyen Thuy Ha</cp:lastModifiedBy>
  <cp:revision>10</cp:revision>
  <cp:lastPrinted>2023-04-04T09:02:00Z</cp:lastPrinted>
  <dcterms:created xsi:type="dcterms:W3CDTF">2023-04-04T04:17:00Z</dcterms:created>
  <dcterms:modified xsi:type="dcterms:W3CDTF">2023-04-04T09:42:00Z</dcterms:modified>
</cp:coreProperties>
</file>